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9BAE4" w14:textId="77777777" w:rsidR="00744D7D" w:rsidRPr="00744D7D" w:rsidRDefault="00744D7D" w:rsidP="007F7FF0">
      <w:pPr>
        <w:jc w:val="center"/>
        <w:rPr>
          <w:rFonts w:hint="eastAsia"/>
          <w:b/>
          <w:sz w:val="28"/>
          <w:szCs w:val="28"/>
          <w:u w:val="single"/>
        </w:rPr>
      </w:pPr>
      <w:r w:rsidRPr="00744D7D">
        <w:rPr>
          <w:b/>
          <w:sz w:val="28"/>
          <w:szCs w:val="28"/>
          <w:u w:val="single"/>
        </w:rPr>
        <w:t>LA CATÁSTROFE CLIMÁTICA NO DEBE MINIMIZARSE:</w:t>
      </w:r>
    </w:p>
    <w:p w14:paraId="2E937A0C" w14:textId="77777777" w:rsidR="00744D7D" w:rsidRPr="001B67A4" w:rsidRDefault="00744D7D" w:rsidP="00BB7A7F">
      <w:pPr>
        <w:jc w:val="both"/>
        <w:rPr>
          <w:rFonts w:hint="eastAsia"/>
          <w:i/>
          <w:sz w:val="28"/>
          <w:szCs w:val="28"/>
        </w:rPr>
      </w:pPr>
      <w:r>
        <w:rPr>
          <w:sz w:val="28"/>
          <w:szCs w:val="28"/>
        </w:rPr>
        <w:tab/>
      </w:r>
      <w:r>
        <w:rPr>
          <w:i/>
          <w:sz w:val="28"/>
          <w:szCs w:val="28"/>
        </w:rPr>
        <w:t xml:space="preserve">La serie estadística 1954-2019 del registro pluviométrico municipal es la información disponible por parte de la </w:t>
      </w:r>
      <w:r w:rsidR="001C3B40">
        <w:rPr>
          <w:i/>
          <w:sz w:val="28"/>
          <w:szCs w:val="28"/>
        </w:rPr>
        <w:t xml:space="preserve">Dirección </w:t>
      </w:r>
      <w:r>
        <w:rPr>
          <w:i/>
          <w:sz w:val="28"/>
          <w:szCs w:val="28"/>
        </w:rPr>
        <w:t xml:space="preserve">de </w:t>
      </w:r>
      <w:r w:rsidR="001C3B40">
        <w:rPr>
          <w:i/>
          <w:sz w:val="28"/>
          <w:szCs w:val="28"/>
        </w:rPr>
        <w:t xml:space="preserve">Guardia </w:t>
      </w:r>
      <w:r>
        <w:rPr>
          <w:i/>
          <w:sz w:val="28"/>
          <w:szCs w:val="28"/>
        </w:rPr>
        <w:t xml:space="preserve">e </w:t>
      </w:r>
      <w:r w:rsidR="001C3B40">
        <w:rPr>
          <w:i/>
          <w:sz w:val="28"/>
          <w:szCs w:val="28"/>
        </w:rPr>
        <w:t xml:space="preserve">Informes </w:t>
      </w:r>
      <w:r>
        <w:rPr>
          <w:i/>
          <w:sz w:val="28"/>
          <w:szCs w:val="28"/>
        </w:rPr>
        <w:t xml:space="preserve">dependiente de la </w:t>
      </w:r>
      <w:r w:rsidRPr="001B67A4">
        <w:rPr>
          <w:i/>
          <w:sz w:val="28"/>
          <w:szCs w:val="28"/>
        </w:rPr>
        <w:t xml:space="preserve">Dirección General de Limpieza de la Secretaría de Ambiente y Servicios </w:t>
      </w:r>
      <w:r w:rsidR="00066566" w:rsidRPr="001B67A4">
        <w:rPr>
          <w:i/>
          <w:sz w:val="28"/>
          <w:szCs w:val="28"/>
        </w:rPr>
        <w:t>Púb</w:t>
      </w:r>
      <w:r w:rsidR="004019BC" w:rsidRPr="001B67A4">
        <w:rPr>
          <w:i/>
          <w:sz w:val="28"/>
          <w:szCs w:val="28"/>
        </w:rPr>
        <w:t>l</w:t>
      </w:r>
      <w:r w:rsidR="00066566" w:rsidRPr="001B67A4">
        <w:rPr>
          <w:i/>
          <w:sz w:val="28"/>
          <w:szCs w:val="28"/>
        </w:rPr>
        <w:t>icos</w:t>
      </w:r>
      <w:r w:rsidRPr="001B67A4">
        <w:rPr>
          <w:i/>
          <w:sz w:val="28"/>
          <w:szCs w:val="28"/>
        </w:rPr>
        <w:t xml:space="preserve">. Las diferencias con otras mediciones de </w:t>
      </w:r>
      <w:r w:rsidR="00066566" w:rsidRPr="001B67A4">
        <w:rPr>
          <w:i/>
          <w:sz w:val="28"/>
          <w:szCs w:val="28"/>
        </w:rPr>
        <w:t xml:space="preserve">la </w:t>
      </w:r>
      <w:r w:rsidRPr="001B67A4">
        <w:rPr>
          <w:i/>
          <w:sz w:val="28"/>
          <w:szCs w:val="28"/>
        </w:rPr>
        <w:t xml:space="preserve">Administración Provincial del Agua (APA) o el </w:t>
      </w:r>
      <w:r w:rsidR="00580BD9">
        <w:rPr>
          <w:i/>
          <w:sz w:val="28"/>
          <w:szCs w:val="28"/>
        </w:rPr>
        <w:t>Servicio Meteorológico Nacional (</w:t>
      </w:r>
      <w:r w:rsidRPr="001B67A4">
        <w:rPr>
          <w:i/>
          <w:sz w:val="28"/>
          <w:szCs w:val="28"/>
        </w:rPr>
        <w:t>SMN</w:t>
      </w:r>
      <w:r w:rsidR="00580BD9">
        <w:rPr>
          <w:i/>
          <w:sz w:val="28"/>
          <w:szCs w:val="28"/>
        </w:rPr>
        <w:t>)</w:t>
      </w:r>
      <w:r w:rsidRPr="001B67A4">
        <w:rPr>
          <w:i/>
          <w:sz w:val="28"/>
          <w:szCs w:val="28"/>
        </w:rPr>
        <w:t xml:space="preserve">, RANE u otras fuentes están directamente asociadas a la </w:t>
      </w:r>
      <w:r w:rsidR="00066566" w:rsidRPr="001B67A4">
        <w:rPr>
          <w:i/>
          <w:sz w:val="28"/>
          <w:szCs w:val="28"/>
        </w:rPr>
        <w:t xml:space="preserve">variación de la </w:t>
      </w:r>
      <w:r w:rsidRPr="001B67A4">
        <w:rPr>
          <w:i/>
          <w:sz w:val="28"/>
          <w:szCs w:val="28"/>
        </w:rPr>
        <w:t>intensidad del fenómeno y a sus características</w:t>
      </w:r>
      <w:r w:rsidR="00066566" w:rsidRPr="001B67A4">
        <w:rPr>
          <w:i/>
          <w:sz w:val="28"/>
          <w:szCs w:val="28"/>
        </w:rPr>
        <w:t xml:space="preserve"> en distintos sectores de la ciudad</w:t>
      </w:r>
      <w:r w:rsidRPr="001B67A4">
        <w:rPr>
          <w:i/>
          <w:sz w:val="28"/>
          <w:szCs w:val="28"/>
        </w:rPr>
        <w:t>.</w:t>
      </w:r>
    </w:p>
    <w:p w14:paraId="6ABDE131" w14:textId="77777777" w:rsidR="00744D7D" w:rsidRDefault="00744D7D" w:rsidP="00BB7A7F">
      <w:pPr>
        <w:jc w:val="both"/>
        <w:rPr>
          <w:rFonts w:hint="eastAsia"/>
          <w:i/>
          <w:sz w:val="28"/>
          <w:szCs w:val="28"/>
        </w:rPr>
      </w:pPr>
      <w:r w:rsidRPr="001B67A4">
        <w:rPr>
          <w:i/>
          <w:sz w:val="28"/>
          <w:szCs w:val="28"/>
        </w:rPr>
        <w:tab/>
        <w:t xml:space="preserve">Esta serie permite visualizar </w:t>
      </w:r>
      <w:r>
        <w:rPr>
          <w:i/>
          <w:sz w:val="28"/>
          <w:szCs w:val="28"/>
        </w:rPr>
        <w:t xml:space="preserve">que el registro de lluvias acumulado en enero de 2019 alcanza a 612 </w:t>
      </w:r>
      <w:r w:rsidR="00D5239F">
        <w:rPr>
          <w:i/>
          <w:sz w:val="28"/>
          <w:szCs w:val="28"/>
        </w:rPr>
        <w:t>milímetros (</w:t>
      </w:r>
      <w:r>
        <w:rPr>
          <w:i/>
          <w:sz w:val="28"/>
          <w:szCs w:val="28"/>
        </w:rPr>
        <w:t>mm</w:t>
      </w:r>
      <w:r w:rsidR="00D5239F">
        <w:rPr>
          <w:i/>
          <w:sz w:val="28"/>
          <w:szCs w:val="28"/>
        </w:rPr>
        <w:t>)</w:t>
      </w:r>
      <w:r w:rsidR="00785758">
        <w:rPr>
          <w:i/>
          <w:sz w:val="28"/>
          <w:szCs w:val="28"/>
        </w:rPr>
        <w:t xml:space="preserve"> lo cual constituye un récord histórico para la ciudad, pero desde el </w:t>
      </w:r>
      <w:r w:rsidR="007F7FF0">
        <w:rPr>
          <w:i/>
          <w:sz w:val="28"/>
          <w:szCs w:val="28"/>
        </w:rPr>
        <w:t>18 de diciembre de 2018</w:t>
      </w:r>
      <w:r w:rsidR="00785758">
        <w:rPr>
          <w:i/>
          <w:sz w:val="28"/>
          <w:szCs w:val="28"/>
        </w:rPr>
        <w:t xml:space="preserve"> al 18</w:t>
      </w:r>
      <w:r w:rsidR="00BD553E">
        <w:rPr>
          <w:i/>
          <w:sz w:val="28"/>
          <w:szCs w:val="28"/>
        </w:rPr>
        <w:t xml:space="preserve"> de enero de 2019 </w:t>
      </w:r>
      <w:r w:rsidR="00785758">
        <w:rPr>
          <w:i/>
          <w:sz w:val="28"/>
          <w:szCs w:val="28"/>
        </w:rPr>
        <w:t>este registro alcanzó a 822 mm, y 879 mm si se contabilizan desde el 12</w:t>
      </w:r>
      <w:r w:rsidR="00BD553E">
        <w:rPr>
          <w:i/>
          <w:sz w:val="28"/>
          <w:szCs w:val="28"/>
        </w:rPr>
        <w:t xml:space="preserve"> de diciembre de 2</w:t>
      </w:r>
      <w:r w:rsidR="00785758">
        <w:rPr>
          <w:i/>
          <w:sz w:val="28"/>
          <w:szCs w:val="28"/>
        </w:rPr>
        <w:t>018.</w:t>
      </w:r>
    </w:p>
    <w:p w14:paraId="117515E8" w14:textId="77777777" w:rsidR="00112E57" w:rsidRPr="001B67A4" w:rsidRDefault="00785758" w:rsidP="00112E57">
      <w:pPr>
        <w:ind w:firstLine="709"/>
        <w:jc w:val="both"/>
        <w:rPr>
          <w:rFonts w:hint="eastAsia"/>
          <w:i/>
          <w:sz w:val="28"/>
          <w:szCs w:val="28"/>
        </w:rPr>
      </w:pPr>
      <w:r>
        <w:rPr>
          <w:i/>
          <w:sz w:val="28"/>
          <w:szCs w:val="28"/>
        </w:rPr>
        <w:t xml:space="preserve">El </w:t>
      </w:r>
      <w:r w:rsidR="00E576A7">
        <w:rPr>
          <w:i/>
          <w:sz w:val="28"/>
          <w:szCs w:val="28"/>
        </w:rPr>
        <w:t>gráfico</w:t>
      </w:r>
      <w:r>
        <w:rPr>
          <w:i/>
          <w:sz w:val="28"/>
          <w:szCs w:val="28"/>
        </w:rPr>
        <w:t xml:space="preserve"> que se presenta a continuación </w:t>
      </w:r>
      <w:r w:rsidR="00CC064E">
        <w:rPr>
          <w:i/>
          <w:sz w:val="28"/>
          <w:szCs w:val="28"/>
        </w:rPr>
        <w:t>es un análisis</w:t>
      </w:r>
      <w:r w:rsidR="00CC064E">
        <w:rPr>
          <w:rStyle w:val="FootnoteReference"/>
          <w:i/>
          <w:sz w:val="28"/>
          <w:szCs w:val="28"/>
        </w:rPr>
        <w:footnoteReference w:id="1"/>
      </w:r>
      <w:r w:rsidR="00CC064E">
        <w:rPr>
          <w:i/>
          <w:sz w:val="28"/>
          <w:szCs w:val="28"/>
        </w:rPr>
        <w:t xml:space="preserve"> de la serie histórica </w:t>
      </w:r>
      <w:r w:rsidR="007D6E13">
        <w:rPr>
          <w:i/>
          <w:sz w:val="28"/>
          <w:szCs w:val="28"/>
        </w:rPr>
        <w:t xml:space="preserve">de precipitaciones </w:t>
      </w:r>
      <w:r w:rsidR="00CC064E">
        <w:rPr>
          <w:i/>
          <w:sz w:val="28"/>
          <w:szCs w:val="28"/>
        </w:rPr>
        <w:t xml:space="preserve">y </w:t>
      </w:r>
      <w:r>
        <w:rPr>
          <w:i/>
          <w:sz w:val="28"/>
          <w:szCs w:val="28"/>
        </w:rPr>
        <w:t>de los ciclos secos y húmedos</w:t>
      </w:r>
      <w:r w:rsidR="00E576A7">
        <w:rPr>
          <w:i/>
          <w:sz w:val="28"/>
          <w:szCs w:val="28"/>
        </w:rPr>
        <w:t>, el tiempo</w:t>
      </w:r>
      <w:r w:rsidR="00CC064E">
        <w:rPr>
          <w:i/>
          <w:sz w:val="28"/>
          <w:szCs w:val="28"/>
        </w:rPr>
        <w:t xml:space="preserve"> de duración e intensidad, </w:t>
      </w:r>
      <w:r w:rsidR="00CC064E" w:rsidRPr="001B67A4">
        <w:rPr>
          <w:i/>
          <w:sz w:val="28"/>
          <w:szCs w:val="28"/>
        </w:rPr>
        <w:t xml:space="preserve">realizando </w:t>
      </w:r>
      <w:r w:rsidRPr="001B67A4">
        <w:rPr>
          <w:i/>
          <w:sz w:val="28"/>
          <w:szCs w:val="28"/>
        </w:rPr>
        <w:t>las comparaciones objetivas para reconocer algunas cuestiones que son esenciales al momento de escuchar opiniones tales como “nunca me había inundado así</w:t>
      </w:r>
      <w:r w:rsidR="00066566" w:rsidRPr="001B67A4">
        <w:rPr>
          <w:i/>
          <w:sz w:val="28"/>
          <w:szCs w:val="28"/>
        </w:rPr>
        <w:t>”</w:t>
      </w:r>
      <w:r w:rsidRPr="001B67A4">
        <w:rPr>
          <w:i/>
          <w:sz w:val="28"/>
          <w:szCs w:val="28"/>
        </w:rPr>
        <w:t xml:space="preserve">, o </w:t>
      </w:r>
      <w:r w:rsidR="00066566" w:rsidRPr="001B67A4">
        <w:rPr>
          <w:i/>
          <w:sz w:val="28"/>
          <w:szCs w:val="28"/>
        </w:rPr>
        <w:t>“</w:t>
      </w:r>
      <w:r w:rsidRPr="001B67A4">
        <w:rPr>
          <w:i/>
          <w:sz w:val="28"/>
          <w:szCs w:val="28"/>
        </w:rPr>
        <w:t>nunca tuve tanta agua”. Esto es simplemente porque nunca se había experimentado un fenómeno de tal magnitud.</w:t>
      </w:r>
      <w:r w:rsidR="00112E57" w:rsidRPr="001B67A4">
        <w:rPr>
          <w:i/>
          <w:sz w:val="28"/>
          <w:szCs w:val="28"/>
        </w:rPr>
        <w:t xml:space="preserve"> </w:t>
      </w:r>
    </w:p>
    <w:p w14:paraId="53D6177B" w14:textId="77777777" w:rsidR="00112E57" w:rsidRDefault="00112E57" w:rsidP="00112E57">
      <w:pPr>
        <w:ind w:firstLine="709"/>
        <w:jc w:val="both"/>
        <w:rPr>
          <w:rFonts w:hint="eastAsia"/>
          <w:i/>
          <w:sz w:val="28"/>
          <w:szCs w:val="28"/>
        </w:rPr>
      </w:pPr>
      <w:r w:rsidRPr="001B67A4">
        <w:rPr>
          <w:i/>
          <w:sz w:val="28"/>
          <w:szCs w:val="28"/>
        </w:rPr>
        <w:t xml:space="preserve">En este sentido, se observa </w:t>
      </w:r>
      <w:r w:rsidRPr="0016197E">
        <w:rPr>
          <w:i/>
          <w:sz w:val="28"/>
          <w:szCs w:val="28"/>
        </w:rPr>
        <w:t xml:space="preserve">un comportamiento cíclico que se manifiesta en el primer trimestre del año alternado entre ciclos húmedos con precipitaciones con niveles sustancialmente mayores a la media, cuyos picos se representan con puntos negros en el gráfico. Ciclos secos donde las precipitaciones muestran niveles </w:t>
      </w:r>
      <w:r>
        <w:rPr>
          <w:i/>
          <w:sz w:val="28"/>
          <w:szCs w:val="28"/>
        </w:rPr>
        <w:t>significativamente</w:t>
      </w:r>
      <w:r w:rsidRPr="0016197E">
        <w:rPr>
          <w:i/>
          <w:sz w:val="28"/>
          <w:szCs w:val="28"/>
        </w:rPr>
        <w:t xml:space="preserve"> menores a la media</w:t>
      </w:r>
      <w:r>
        <w:rPr>
          <w:i/>
          <w:sz w:val="28"/>
          <w:szCs w:val="28"/>
        </w:rPr>
        <w:t>,</w:t>
      </w:r>
      <w:r w:rsidRPr="0016197E">
        <w:rPr>
          <w:i/>
          <w:sz w:val="28"/>
          <w:szCs w:val="28"/>
        </w:rPr>
        <w:t xml:space="preserve"> cuyos valles se representan con puntos blancos en el gráfico. El periodo de tiempo que transcurre entre el punto mínimo y máximo de precipitaciones determina la duración del ciclo.</w:t>
      </w:r>
    </w:p>
    <w:p w14:paraId="574FBE59" w14:textId="77777777" w:rsidR="002136E3" w:rsidRPr="002136E3" w:rsidRDefault="002136E3" w:rsidP="002136E3">
      <w:pPr>
        <w:spacing w:after="0"/>
        <w:jc w:val="center"/>
        <w:rPr>
          <w:rFonts w:hint="eastAsia"/>
          <w:b/>
          <w:i/>
          <w:sz w:val="28"/>
          <w:szCs w:val="28"/>
        </w:rPr>
      </w:pPr>
      <w:r w:rsidRPr="002136E3">
        <w:rPr>
          <w:b/>
          <w:i/>
          <w:sz w:val="28"/>
          <w:szCs w:val="28"/>
        </w:rPr>
        <w:t>Gráfico 1: Precipitaciones en Resistencia. Primer trimestre 1954-2018.</w:t>
      </w:r>
    </w:p>
    <w:p w14:paraId="29462F0E" w14:textId="77777777" w:rsidR="00BB7A7F" w:rsidRDefault="00BB7A7F" w:rsidP="00BB7A7F">
      <w:pPr>
        <w:jc w:val="both"/>
        <w:rPr>
          <w:rFonts w:hint="eastAsia"/>
        </w:rPr>
      </w:pPr>
      <w:r>
        <w:rPr>
          <w:noProof/>
          <w:lang w:val="en-US" w:eastAsia="en-US"/>
        </w:rPr>
        <w:lastRenderedPageBreak/>
        <w:drawing>
          <wp:inline distT="0" distB="0" distL="0" distR="0" wp14:anchorId="4177A9FF" wp14:editId="26C17913">
            <wp:extent cx="5589767" cy="2926080"/>
            <wp:effectExtent l="0" t="0" r="0" b="762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B7A7F">
        <w:t xml:space="preserve"> </w:t>
      </w:r>
    </w:p>
    <w:p w14:paraId="0487F3F2" w14:textId="77777777" w:rsidR="00E86395" w:rsidRPr="0016197E" w:rsidRDefault="00BB7A7F" w:rsidP="0068113E">
      <w:pPr>
        <w:ind w:firstLine="709"/>
        <w:jc w:val="both"/>
        <w:rPr>
          <w:rFonts w:hint="eastAsia"/>
          <w:i/>
          <w:sz w:val="28"/>
          <w:szCs w:val="28"/>
        </w:rPr>
      </w:pPr>
      <w:r w:rsidRPr="0016197E">
        <w:rPr>
          <w:i/>
          <w:sz w:val="28"/>
          <w:szCs w:val="28"/>
        </w:rPr>
        <w:t xml:space="preserve">Del análisis de los ciclos húmedos y secos en la </w:t>
      </w:r>
      <w:r w:rsidR="0016197E" w:rsidRPr="0016197E">
        <w:rPr>
          <w:i/>
          <w:sz w:val="28"/>
          <w:szCs w:val="28"/>
        </w:rPr>
        <w:t xml:space="preserve">Ciudad </w:t>
      </w:r>
      <w:r w:rsidRPr="0016197E">
        <w:rPr>
          <w:i/>
          <w:sz w:val="28"/>
          <w:szCs w:val="28"/>
        </w:rPr>
        <w:t xml:space="preserve">de </w:t>
      </w:r>
      <w:r w:rsidR="0016197E" w:rsidRPr="0016197E">
        <w:rPr>
          <w:i/>
          <w:sz w:val="28"/>
          <w:szCs w:val="28"/>
        </w:rPr>
        <w:t xml:space="preserve">Resistencia </w:t>
      </w:r>
      <w:r w:rsidRPr="0016197E">
        <w:rPr>
          <w:i/>
          <w:sz w:val="28"/>
          <w:szCs w:val="28"/>
        </w:rPr>
        <w:t>se verifica</w:t>
      </w:r>
      <w:r w:rsidR="0016197E">
        <w:rPr>
          <w:i/>
          <w:sz w:val="28"/>
          <w:szCs w:val="28"/>
        </w:rPr>
        <w:t xml:space="preserve"> que</w:t>
      </w:r>
      <w:r w:rsidRPr="0016197E">
        <w:rPr>
          <w:i/>
          <w:sz w:val="28"/>
          <w:szCs w:val="28"/>
        </w:rPr>
        <w:t xml:space="preserve"> los mismos comienzan a darse con una intensidad cad</w:t>
      </w:r>
      <w:r w:rsidR="003E6190">
        <w:rPr>
          <w:i/>
          <w:sz w:val="28"/>
          <w:szCs w:val="28"/>
        </w:rPr>
        <w:t>a vez mayor desde el año 1972, g</w:t>
      </w:r>
      <w:r w:rsidRPr="0016197E">
        <w:rPr>
          <w:i/>
          <w:sz w:val="28"/>
          <w:szCs w:val="28"/>
        </w:rPr>
        <w:t>olpeando a la ciudad  de su mayor intensidad en los años 1994 y 2019. Esto se debe en gran parte al cambio climático.</w:t>
      </w:r>
    </w:p>
    <w:p w14:paraId="6EA645CE" w14:textId="77777777" w:rsidR="00DA1C8F" w:rsidRDefault="00785758" w:rsidP="00DA24A9">
      <w:pPr>
        <w:jc w:val="both"/>
        <w:rPr>
          <w:rFonts w:hint="eastAsia"/>
          <w:i/>
          <w:sz w:val="28"/>
          <w:szCs w:val="28"/>
        </w:rPr>
      </w:pPr>
      <w:r>
        <w:rPr>
          <w:i/>
          <w:sz w:val="28"/>
          <w:szCs w:val="28"/>
        </w:rPr>
        <w:tab/>
      </w:r>
      <w:r w:rsidR="00E576A7" w:rsidRPr="001B67A4">
        <w:rPr>
          <w:i/>
          <w:sz w:val="28"/>
          <w:szCs w:val="28"/>
        </w:rPr>
        <w:t>Asimismo, d</w:t>
      </w:r>
      <w:r w:rsidRPr="001B67A4">
        <w:rPr>
          <w:i/>
          <w:sz w:val="28"/>
          <w:szCs w:val="28"/>
        </w:rPr>
        <w:t xml:space="preserve">urante nuestra gestión atravesamos en tres años y vamos por el cuarto </w:t>
      </w:r>
      <w:r w:rsidR="003E6190">
        <w:rPr>
          <w:i/>
          <w:sz w:val="28"/>
          <w:szCs w:val="28"/>
        </w:rPr>
        <w:t>año,</w:t>
      </w:r>
      <w:r w:rsidRPr="001B67A4">
        <w:rPr>
          <w:i/>
          <w:sz w:val="28"/>
          <w:szCs w:val="28"/>
        </w:rPr>
        <w:t xml:space="preserve"> </w:t>
      </w:r>
      <w:r>
        <w:rPr>
          <w:i/>
          <w:sz w:val="28"/>
          <w:szCs w:val="28"/>
        </w:rPr>
        <w:t>lluvias promedio superiore</w:t>
      </w:r>
      <w:r w:rsidR="003E6190">
        <w:rPr>
          <w:i/>
          <w:sz w:val="28"/>
          <w:szCs w:val="28"/>
        </w:rPr>
        <w:t>s a la media anual equivalente de</w:t>
      </w:r>
      <w:r>
        <w:rPr>
          <w:i/>
          <w:sz w:val="28"/>
          <w:szCs w:val="28"/>
        </w:rPr>
        <w:t xml:space="preserve"> 1327 mm que es consistente con la línea de isohietas para el Chaco Oriental. </w:t>
      </w:r>
    </w:p>
    <w:p w14:paraId="7BD0E732" w14:textId="77777777" w:rsidR="00DA1C8F" w:rsidRDefault="00DA1C8F" w:rsidP="00DA1C8F">
      <w:pPr>
        <w:jc w:val="center"/>
        <w:rPr>
          <w:rFonts w:hint="eastAsia"/>
          <w:i/>
          <w:sz w:val="28"/>
          <w:szCs w:val="28"/>
        </w:rPr>
      </w:pPr>
      <w:r w:rsidRPr="001B5239">
        <w:rPr>
          <w:b/>
          <w:i/>
          <w:sz w:val="28"/>
          <w:szCs w:val="28"/>
        </w:rPr>
        <w:t>Gráfico 2: Precipitaciones en Resistencia. Promedios anuales</w:t>
      </w:r>
      <w:r w:rsidR="00D908ED">
        <w:rPr>
          <w:b/>
          <w:i/>
          <w:sz w:val="28"/>
          <w:szCs w:val="28"/>
        </w:rPr>
        <w:t xml:space="preserve"> en milímitros</w:t>
      </w:r>
      <w:r w:rsidRPr="001B5239">
        <w:rPr>
          <w:b/>
          <w:i/>
          <w:sz w:val="28"/>
          <w:szCs w:val="28"/>
        </w:rPr>
        <w:t>.</w:t>
      </w:r>
      <w:r>
        <w:rPr>
          <w:noProof/>
          <w:lang w:val="en-US" w:eastAsia="en-US"/>
        </w:rPr>
        <w:drawing>
          <wp:inline distT="0" distB="0" distL="0" distR="0" wp14:anchorId="674E94C8" wp14:editId="4CAEB66A">
            <wp:extent cx="5612130" cy="2606675"/>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2606675"/>
                    </a:xfrm>
                    <a:prstGeom prst="rect">
                      <a:avLst/>
                    </a:prstGeom>
                  </pic:spPr>
                </pic:pic>
              </a:graphicData>
            </a:graphic>
          </wp:inline>
        </w:drawing>
      </w:r>
    </w:p>
    <w:p w14:paraId="184250A5" w14:textId="77777777" w:rsidR="00785758" w:rsidRDefault="00785758" w:rsidP="00DA1C8F">
      <w:pPr>
        <w:ind w:firstLine="709"/>
        <w:jc w:val="both"/>
        <w:rPr>
          <w:i/>
          <w:sz w:val="28"/>
          <w:szCs w:val="28"/>
        </w:rPr>
      </w:pPr>
      <w:r w:rsidRPr="003E6190">
        <w:rPr>
          <w:i/>
          <w:sz w:val="28"/>
          <w:szCs w:val="28"/>
        </w:rPr>
        <w:lastRenderedPageBreak/>
        <w:t xml:space="preserve">Comparativamente con los </w:t>
      </w:r>
      <w:r w:rsidR="003E235D" w:rsidRPr="003E6190">
        <w:rPr>
          <w:i/>
          <w:sz w:val="28"/>
          <w:szCs w:val="28"/>
        </w:rPr>
        <w:t>18</w:t>
      </w:r>
      <w:r w:rsidRPr="003E6190">
        <w:rPr>
          <w:i/>
          <w:sz w:val="28"/>
          <w:szCs w:val="28"/>
        </w:rPr>
        <w:t xml:space="preserve"> años precedentes donde el ciclo seco permitió atravesar </w:t>
      </w:r>
      <w:r w:rsidR="003E6190">
        <w:rPr>
          <w:i/>
          <w:sz w:val="28"/>
          <w:szCs w:val="28"/>
        </w:rPr>
        <w:t xml:space="preserve">anteriores </w:t>
      </w:r>
      <w:r w:rsidRPr="003E6190">
        <w:rPr>
          <w:i/>
          <w:sz w:val="28"/>
          <w:szCs w:val="28"/>
        </w:rPr>
        <w:t xml:space="preserve">gestiones municipales con el </w:t>
      </w:r>
      <w:r w:rsidR="003E235D" w:rsidRPr="003E6190">
        <w:rPr>
          <w:i/>
          <w:sz w:val="28"/>
          <w:szCs w:val="28"/>
        </w:rPr>
        <w:t>77</w:t>
      </w:r>
      <w:r w:rsidRPr="003E6190">
        <w:rPr>
          <w:i/>
          <w:sz w:val="28"/>
          <w:szCs w:val="28"/>
        </w:rPr>
        <w:t>,</w:t>
      </w:r>
      <w:r w:rsidR="003E235D" w:rsidRPr="003E6190">
        <w:rPr>
          <w:i/>
          <w:sz w:val="28"/>
          <w:szCs w:val="28"/>
        </w:rPr>
        <w:t>8</w:t>
      </w:r>
      <w:r w:rsidRPr="003E6190">
        <w:rPr>
          <w:i/>
          <w:sz w:val="28"/>
          <w:szCs w:val="28"/>
        </w:rPr>
        <w:t>% del período con lluvias por debajo del promedio.</w:t>
      </w:r>
    </w:p>
    <w:p w14:paraId="431C7793" w14:textId="77777777" w:rsidR="003E6190" w:rsidRDefault="003E6190" w:rsidP="00DA1C8F">
      <w:pPr>
        <w:ind w:firstLine="709"/>
        <w:jc w:val="both"/>
        <w:rPr>
          <w:rFonts w:hint="eastAsia"/>
          <w:i/>
          <w:sz w:val="28"/>
          <w:szCs w:val="28"/>
        </w:rPr>
      </w:pPr>
    </w:p>
    <w:p w14:paraId="36240DA2" w14:textId="77777777" w:rsidR="00DA1C8F" w:rsidRDefault="00DA1C8F" w:rsidP="00D908ED">
      <w:pPr>
        <w:spacing w:after="0"/>
        <w:jc w:val="center"/>
        <w:rPr>
          <w:rFonts w:hint="eastAsia"/>
          <w:i/>
          <w:sz w:val="28"/>
          <w:szCs w:val="28"/>
        </w:rPr>
      </w:pPr>
      <w:r w:rsidRPr="001B5239">
        <w:rPr>
          <w:b/>
          <w:i/>
          <w:sz w:val="28"/>
          <w:szCs w:val="28"/>
        </w:rPr>
        <w:t xml:space="preserve">Gráfico </w:t>
      </w:r>
      <w:r w:rsidR="003E6190">
        <w:rPr>
          <w:b/>
          <w:i/>
          <w:sz w:val="28"/>
          <w:szCs w:val="28"/>
        </w:rPr>
        <w:t>3</w:t>
      </w:r>
      <w:r w:rsidRPr="001B5239">
        <w:rPr>
          <w:b/>
          <w:i/>
          <w:sz w:val="28"/>
          <w:szCs w:val="28"/>
        </w:rPr>
        <w:t>: Precipitaciones en Resistencia. Promedios anuales</w:t>
      </w:r>
      <w:r w:rsidR="00D908ED">
        <w:rPr>
          <w:b/>
          <w:i/>
          <w:sz w:val="28"/>
          <w:szCs w:val="28"/>
        </w:rPr>
        <w:t xml:space="preserve"> en porcentajes</w:t>
      </w:r>
      <w:r w:rsidRPr="001B5239">
        <w:rPr>
          <w:b/>
          <w:i/>
          <w:sz w:val="28"/>
          <w:szCs w:val="28"/>
        </w:rPr>
        <w:t>.</w:t>
      </w:r>
    </w:p>
    <w:p w14:paraId="202BC16B" w14:textId="77777777" w:rsidR="00DA1C8F" w:rsidRDefault="00DA1C8F" w:rsidP="00DA1C8F">
      <w:pPr>
        <w:jc w:val="center"/>
        <w:rPr>
          <w:rFonts w:hint="eastAsia"/>
          <w:i/>
          <w:sz w:val="28"/>
          <w:szCs w:val="28"/>
        </w:rPr>
      </w:pPr>
      <w:r>
        <w:rPr>
          <w:noProof/>
          <w:lang w:val="en-US" w:eastAsia="en-US"/>
        </w:rPr>
        <w:drawing>
          <wp:inline distT="0" distB="0" distL="0" distR="0" wp14:anchorId="6598E0B7" wp14:editId="34F1AF03">
            <wp:extent cx="4652590" cy="250212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51354" cy="2501458"/>
                    </a:xfrm>
                    <a:prstGeom prst="rect">
                      <a:avLst/>
                    </a:prstGeom>
                  </pic:spPr>
                </pic:pic>
              </a:graphicData>
            </a:graphic>
          </wp:inline>
        </w:drawing>
      </w:r>
    </w:p>
    <w:p w14:paraId="49A7D6E0" w14:textId="77777777" w:rsidR="00785758" w:rsidRDefault="00785758" w:rsidP="00DA24A9">
      <w:pPr>
        <w:jc w:val="both"/>
        <w:rPr>
          <w:rFonts w:hint="eastAsia"/>
          <w:i/>
          <w:sz w:val="28"/>
          <w:szCs w:val="28"/>
        </w:rPr>
      </w:pPr>
      <w:r>
        <w:rPr>
          <w:i/>
          <w:sz w:val="28"/>
          <w:szCs w:val="28"/>
        </w:rPr>
        <w:tab/>
      </w:r>
      <w:r w:rsidR="00291431">
        <w:rPr>
          <w:i/>
          <w:sz w:val="28"/>
          <w:szCs w:val="28"/>
        </w:rPr>
        <w:t>En este contexto, e</w:t>
      </w:r>
      <w:r>
        <w:rPr>
          <w:i/>
          <w:sz w:val="28"/>
          <w:szCs w:val="28"/>
        </w:rPr>
        <w:t>l creci</w:t>
      </w:r>
      <w:r w:rsidRPr="00674A30">
        <w:rPr>
          <w:i/>
          <w:sz w:val="28"/>
          <w:szCs w:val="28"/>
        </w:rPr>
        <w:t xml:space="preserve">miento de los ríos adquiere importancia fundamental pues la descarga de agua </w:t>
      </w:r>
      <w:r w:rsidR="00066566" w:rsidRPr="00674A30">
        <w:rPr>
          <w:i/>
          <w:sz w:val="28"/>
          <w:szCs w:val="28"/>
        </w:rPr>
        <w:t xml:space="preserve">de la ciudad </w:t>
      </w:r>
      <w:r w:rsidRPr="00674A30">
        <w:rPr>
          <w:i/>
          <w:sz w:val="28"/>
          <w:szCs w:val="28"/>
        </w:rPr>
        <w:t xml:space="preserve">al río Paraná puede efectuarse a través de dos modalidades: a) por apertura de compuertas y drenaje natural </w:t>
      </w:r>
      <w:r w:rsidR="00066566" w:rsidRPr="00674A30">
        <w:rPr>
          <w:i/>
          <w:sz w:val="28"/>
          <w:szCs w:val="28"/>
        </w:rPr>
        <w:t xml:space="preserve">del río Negro </w:t>
      </w:r>
      <w:r w:rsidRPr="00674A30">
        <w:rPr>
          <w:i/>
          <w:sz w:val="28"/>
          <w:szCs w:val="28"/>
        </w:rPr>
        <w:t>cuando el Paraná está por debajo de 6 m</w:t>
      </w:r>
      <w:r w:rsidR="00D5239F">
        <w:rPr>
          <w:i/>
          <w:sz w:val="28"/>
          <w:szCs w:val="28"/>
        </w:rPr>
        <w:t>etros</w:t>
      </w:r>
      <w:r w:rsidRPr="00674A30">
        <w:rPr>
          <w:i/>
          <w:sz w:val="28"/>
          <w:szCs w:val="28"/>
        </w:rPr>
        <w:t xml:space="preserve"> en el Puerto de Barranqueras</w:t>
      </w:r>
      <w:r w:rsidR="000B04ED">
        <w:rPr>
          <w:i/>
          <w:sz w:val="28"/>
          <w:szCs w:val="28"/>
        </w:rPr>
        <w:t>;</w:t>
      </w:r>
      <w:r w:rsidRPr="00674A30">
        <w:rPr>
          <w:i/>
          <w:sz w:val="28"/>
          <w:szCs w:val="28"/>
        </w:rPr>
        <w:t xml:space="preserve"> b) por activación del sistema de bombeo.</w:t>
      </w:r>
    </w:p>
    <w:p w14:paraId="46EB2146" w14:textId="77777777" w:rsidR="000C0650" w:rsidRDefault="00785758" w:rsidP="0066320E">
      <w:pPr>
        <w:jc w:val="both"/>
        <w:rPr>
          <w:rFonts w:hint="eastAsia"/>
          <w:i/>
          <w:sz w:val="28"/>
          <w:szCs w:val="28"/>
        </w:rPr>
      </w:pPr>
      <w:r>
        <w:rPr>
          <w:i/>
          <w:sz w:val="28"/>
          <w:szCs w:val="28"/>
        </w:rPr>
        <w:tab/>
        <w:t xml:space="preserve">La serie estadística </w:t>
      </w:r>
      <w:r w:rsidR="005003BB">
        <w:rPr>
          <w:i/>
          <w:sz w:val="28"/>
          <w:szCs w:val="28"/>
        </w:rPr>
        <w:t>de crecimiento del caudal de los ríos permite visualizar la estacionalidad, la tendencia y el comportamiento del ciclo.</w:t>
      </w:r>
    </w:p>
    <w:p w14:paraId="4568425C" w14:textId="77777777" w:rsidR="00C867A0" w:rsidRDefault="000C0650" w:rsidP="00C468B9">
      <w:pPr>
        <w:jc w:val="center"/>
        <w:rPr>
          <w:rFonts w:hint="eastAsia"/>
          <w:i/>
          <w:sz w:val="28"/>
          <w:szCs w:val="28"/>
        </w:rPr>
      </w:pPr>
      <w:r w:rsidRPr="002136E3">
        <w:rPr>
          <w:b/>
          <w:i/>
          <w:sz w:val="28"/>
          <w:szCs w:val="28"/>
        </w:rPr>
        <w:lastRenderedPageBreak/>
        <w:t xml:space="preserve">Gráfico </w:t>
      </w:r>
      <w:r w:rsidR="003E6190">
        <w:rPr>
          <w:b/>
          <w:i/>
          <w:sz w:val="28"/>
          <w:szCs w:val="28"/>
        </w:rPr>
        <w:t>4</w:t>
      </w:r>
      <w:r w:rsidRPr="002136E3">
        <w:rPr>
          <w:b/>
          <w:i/>
          <w:sz w:val="28"/>
          <w:szCs w:val="28"/>
        </w:rPr>
        <w:t xml:space="preserve">: </w:t>
      </w:r>
      <w:r>
        <w:rPr>
          <w:b/>
          <w:i/>
          <w:sz w:val="28"/>
          <w:szCs w:val="28"/>
        </w:rPr>
        <w:t>Evolución la altura de los ríos</w:t>
      </w:r>
      <w:r w:rsidR="005129B2">
        <w:rPr>
          <w:b/>
          <w:i/>
          <w:sz w:val="28"/>
          <w:szCs w:val="28"/>
        </w:rPr>
        <w:t>,</w:t>
      </w:r>
      <w:r>
        <w:rPr>
          <w:b/>
          <w:i/>
          <w:sz w:val="28"/>
          <w:szCs w:val="28"/>
        </w:rPr>
        <w:t xml:space="preserve"> 2000-2018.</w:t>
      </w:r>
      <w:r w:rsidR="00C468B9" w:rsidRPr="00C468B9">
        <w:rPr>
          <w:noProof/>
          <w:lang w:val="es-ES" w:eastAsia="es-ES"/>
        </w:rPr>
        <w:t xml:space="preserve"> </w:t>
      </w:r>
      <w:r w:rsidR="00E36685">
        <w:rPr>
          <w:noProof/>
          <w:lang w:val="en-US" w:eastAsia="en-US"/>
        </w:rPr>
        <w:drawing>
          <wp:inline distT="0" distB="0" distL="0" distR="0" wp14:anchorId="36D3DA76" wp14:editId="7870A892">
            <wp:extent cx="5486400" cy="3228229"/>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C6ABA6" w14:textId="77777777" w:rsidR="005003BB" w:rsidRDefault="005003BB" w:rsidP="00724290">
      <w:pPr>
        <w:jc w:val="both"/>
        <w:rPr>
          <w:rFonts w:hint="eastAsia"/>
          <w:i/>
          <w:sz w:val="28"/>
          <w:szCs w:val="28"/>
        </w:rPr>
      </w:pPr>
      <w:r>
        <w:rPr>
          <w:i/>
          <w:sz w:val="28"/>
          <w:szCs w:val="28"/>
        </w:rPr>
        <w:tab/>
        <w:t xml:space="preserve">La “tormenta </w:t>
      </w:r>
      <w:r w:rsidRPr="00674A30">
        <w:rPr>
          <w:i/>
          <w:sz w:val="28"/>
          <w:szCs w:val="28"/>
        </w:rPr>
        <w:t xml:space="preserve">perfecta” radica precisamente en el crecimiento de los ríos por impacto </w:t>
      </w:r>
      <w:r w:rsidR="00066566" w:rsidRPr="00674A30">
        <w:rPr>
          <w:i/>
          <w:sz w:val="28"/>
          <w:szCs w:val="28"/>
        </w:rPr>
        <w:t xml:space="preserve">de la crecida </w:t>
      </w:r>
      <w:r w:rsidRPr="00674A30">
        <w:rPr>
          <w:i/>
          <w:sz w:val="28"/>
          <w:szCs w:val="28"/>
        </w:rPr>
        <w:t xml:space="preserve">en la alta y media cuenca del Paraná y </w:t>
      </w:r>
      <w:r w:rsidR="00066566" w:rsidRPr="00674A30">
        <w:rPr>
          <w:i/>
          <w:sz w:val="28"/>
          <w:szCs w:val="28"/>
        </w:rPr>
        <w:t>Paraguay,</w:t>
      </w:r>
      <w:r w:rsidRPr="00674A30">
        <w:rPr>
          <w:i/>
          <w:sz w:val="28"/>
          <w:szCs w:val="28"/>
        </w:rPr>
        <w:t xml:space="preserve"> lluvias copiosas e intensas en la provincia y </w:t>
      </w:r>
      <w:r w:rsidR="00066566" w:rsidRPr="00674A30">
        <w:rPr>
          <w:i/>
          <w:sz w:val="28"/>
          <w:szCs w:val="28"/>
        </w:rPr>
        <w:t xml:space="preserve">en </w:t>
      </w:r>
      <w:r w:rsidRPr="00674A30">
        <w:rPr>
          <w:i/>
          <w:sz w:val="28"/>
          <w:szCs w:val="28"/>
        </w:rPr>
        <w:t>el sistema hídrico tributario del Río Negro</w:t>
      </w:r>
      <w:r w:rsidR="00066566" w:rsidRPr="00674A30">
        <w:rPr>
          <w:i/>
          <w:sz w:val="28"/>
          <w:szCs w:val="28"/>
        </w:rPr>
        <w:t>,</w:t>
      </w:r>
      <w:r w:rsidRPr="00674A30">
        <w:rPr>
          <w:i/>
          <w:sz w:val="28"/>
          <w:szCs w:val="28"/>
        </w:rPr>
        <w:t xml:space="preserve"> conjuntamente </w:t>
      </w:r>
      <w:r>
        <w:rPr>
          <w:i/>
          <w:sz w:val="28"/>
          <w:szCs w:val="28"/>
        </w:rPr>
        <w:t xml:space="preserve">con lluvias extraordinarias de alta intensidad en el </w:t>
      </w:r>
      <w:r w:rsidR="0066320E">
        <w:rPr>
          <w:i/>
          <w:sz w:val="28"/>
          <w:szCs w:val="28"/>
        </w:rPr>
        <w:t>Área Metropolitana del Gran Resistencia (</w:t>
      </w:r>
      <w:r>
        <w:rPr>
          <w:i/>
          <w:sz w:val="28"/>
          <w:szCs w:val="28"/>
        </w:rPr>
        <w:t>AMGR</w:t>
      </w:r>
      <w:r w:rsidR="0066320E">
        <w:rPr>
          <w:i/>
          <w:sz w:val="28"/>
          <w:szCs w:val="28"/>
        </w:rPr>
        <w:t>)</w:t>
      </w:r>
      <w:r>
        <w:rPr>
          <w:i/>
          <w:sz w:val="28"/>
          <w:szCs w:val="28"/>
        </w:rPr>
        <w:t>.</w:t>
      </w:r>
    </w:p>
    <w:p w14:paraId="1FB3CC2F" w14:textId="77777777" w:rsidR="005003BB" w:rsidRPr="00674A30" w:rsidRDefault="005003BB" w:rsidP="00724290">
      <w:pPr>
        <w:jc w:val="both"/>
        <w:rPr>
          <w:rFonts w:hint="eastAsia"/>
          <w:i/>
          <w:sz w:val="28"/>
          <w:szCs w:val="28"/>
        </w:rPr>
      </w:pPr>
      <w:r>
        <w:rPr>
          <w:i/>
          <w:sz w:val="28"/>
          <w:szCs w:val="28"/>
        </w:rPr>
        <w:tab/>
        <w:t xml:space="preserve">Los </w:t>
      </w:r>
      <w:r w:rsidRPr="00674A30">
        <w:rPr>
          <w:i/>
          <w:sz w:val="28"/>
          <w:szCs w:val="28"/>
        </w:rPr>
        <w:t>pronósticos no son alentadores para el período enero-mayo de este año</w:t>
      </w:r>
      <w:r w:rsidR="00066566" w:rsidRPr="00674A30">
        <w:rPr>
          <w:i/>
          <w:sz w:val="28"/>
          <w:szCs w:val="28"/>
        </w:rPr>
        <w:t>.</w:t>
      </w:r>
      <w:r w:rsidR="00806A3C" w:rsidRPr="00674A30">
        <w:rPr>
          <w:i/>
          <w:sz w:val="28"/>
          <w:szCs w:val="28"/>
        </w:rPr>
        <w:t xml:space="preserve"> El</w:t>
      </w:r>
      <w:r w:rsidRPr="00674A30">
        <w:rPr>
          <w:i/>
          <w:sz w:val="28"/>
          <w:szCs w:val="28"/>
        </w:rPr>
        <w:t xml:space="preserve"> cambio de tendencia de fenómeno “niña” a “niño” en el Pacífico</w:t>
      </w:r>
      <w:r w:rsidR="00066566" w:rsidRPr="00674A30">
        <w:rPr>
          <w:i/>
          <w:sz w:val="28"/>
          <w:szCs w:val="28"/>
        </w:rPr>
        <w:t>,</w:t>
      </w:r>
      <w:r w:rsidRPr="00674A30">
        <w:rPr>
          <w:i/>
          <w:sz w:val="28"/>
          <w:szCs w:val="28"/>
        </w:rPr>
        <w:t xml:space="preserve"> con el aumento de la temperatura de las aguas del océano, el efecto de la corriente fría de Humboldt</w:t>
      </w:r>
      <w:r w:rsidR="00066566" w:rsidRPr="00674A30">
        <w:rPr>
          <w:i/>
          <w:sz w:val="28"/>
          <w:szCs w:val="28"/>
        </w:rPr>
        <w:t>,</w:t>
      </w:r>
      <w:r w:rsidRPr="00674A30">
        <w:rPr>
          <w:i/>
          <w:sz w:val="28"/>
          <w:szCs w:val="28"/>
        </w:rPr>
        <w:t xml:space="preserve"> conjuntamente con los vientos alisios del oeste hacia el este</w:t>
      </w:r>
      <w:r w:rsidR="00066566" w:rsidRPr="00674A30">
        <w:rPr>
          <w:i/>
          <w:sz w:val="28"/>
          <w:szCs w:val="28"/>
        </w:rPr>
        <w:t>,</w:t>
      </w:r>
      <w:r w:rsidRPr="00674A30">
        <w:rPr>
          <w:i/>
          <w:sz w:val="28"/>
          <w:szCs w:val="28"/>
        </w:rPr>
        <w:t xml:space="preserve"> chocan con el anticiclón estacionario de Brasil y genera</w:t>
      </w:r>
      <w:r w:rsidR="00066566" w:rsidRPr="00674A30">
        <w:rPr>
          <w:i/>
          <w:sz w:val="28"/>
          <w:szCs w:val="28"/>
        </w:rPr>
        <w:t>n</w:t>
      </w:r>
      <w:r w:rsidRPr="00674A30">
        <w:rPr>
          <w:i/>
          <w:sz w:val="28"/>
          <w:szCs w:val="28"/>
        </w:rPr>
        <w:t xml:space="preserve"> un centro de baja presión en la zona norte del país y en Paraguay</w:t>
      </w:r>
      <w:r w:rsidR="004019BC" w:rsidRPr="00674A30">
        <w:rPr>
          <w:i/>
          <w:sz w:val="28"/>
          <w:szCs w:val="28"/>
        </w:rPr>
        <w:t>,</w:t>
      </w:r>
      <w:r w:rsidRPr="00674A30">
        <w:rPr>
          <w:i/>
          <w:sz w:val="28"/>
          <w:szCs w:val="28"/>
        </w:rPr>
        <w:t xml:space="preserve"> </w:t>
      </w:r>
      <w:r w:rsidR="00066566" w:rsidRPr="00674A30">
        <w:rPr>
          <w:i/>
          <w:sz w:val="28"/>
          <w:szCs w:val="28"/>
        </w:rPr>
        <w:t>produciendo</w:t>
      </w:r>
      <w:r w:rsidRPr="00674A30">
        <w:rPr>
          <w:i/>
          <w:sz w:val="28"/>
          <w:szCs w:val="28"/>
        </w:rPr>
        <w:t xml:space="preserve"> tormentas de variada intensidad con lluvias copiosas en poco período de tiempo.</w:t>
      </w:r>
    </w:p>
    <w:p w14:paraId="4FACE87C" w14:textId="77777777" w:rsidR="005003BB" w:rsidRPr="00674A30" w:rsidRDefault="005003BB" w:rsidP="00724290">
      <w:pPr>
        <w:jc w:val="both"/>
        <w:rPr>
          <w:rFonts w:hint="eastAsia"/>
          <w:i/>
          <w:sz w:val="28"/>
          <w:szCs w:val="28"/>
        </w:rPr>
      </w:pPr>
      <w:r w:rsidRPr="00674A30">
        <w:rPr>
          <w:i/>
          <w:sz w:val="28"/>
          <w:szCs w:val="28"/>
        </w:rPr>
        <w:tab/>
        <w:t>Las proyecciones indican temperaturas y lluvias superiores a las normales, con crecimiento de ríos en un contexto de saturación de napas freáticas y capacidad de drenaje de lagunas interiores.</w:t>
      </w:r>
    </w:p>
    <w:p w14:paraId="375FCCD7" w14:textId="77777777" w:rsidR="005003BB" w:rsidRPr="00674A30" w:rsidRDefault="005003BB" w:rsidP="00724290">
      <w:pPr>
        <w:jc w:val="both"/>
        <w:rPr>
          <w:rFonts w:hint="eastAsia"/>
          <w:i/>
          <w:sz w:val="28"/>
          <w:szCs w:val="28"/>
        </w:rPr>
      </w:pPr>
      <w:r w:rsidRPr="00674A30">
        <w:rPr>
          <w:i/>
          <w:sz w:val="28"/>
          <w:szCs w:val="28"/>
        </w:rPr>
        <w:tab/>
        <w:t>Es objetivamente cierto que existen asentamientos en áreas de alta vulnerabilidad hídrica en la ribera de las lagunas, del mismo modo que en 1930 existían más de 90 lagunas en la ciudad, en la década del 70 existían 73 y actualmente existen solamente 21.</w:t>
      </w:r>
    </w:p>
    <w:p w14:paraId="71422E3E" w14:textId="77777777" w:rsidR="005003BB" w:rsidRPr="00674A30" w:rsidRDefault="005003BB" w:rsidP="00724290">
      <w:pPr>
        <w:jc w:val="both"/>
        <w:rPr>
          <w:rFonts w:hint="eastAsia"/>
          <w:i/>
          <w:sz w:val="28"/>
          <w:szCs w:val="28"/>
        </w:rPr>
      </w:pPr>
      <w:r w:rsidRPr="00674A30">
        <w:rPr>
          <w:i/>
          <w:sz w:val="28"/>
          <w:szCs w:val="28"/>
        </w:rPr>
        <w:lastRenderedPageBreak/>
        <w:tab/>
        <w:t>Es absolutamente cierto que existen disputas por la propiedad, por las áreas de ocupación y por el arrojo de residuos sólidos urbanos y desechos en las mismas lo cual provoca menor capacidad relativa de absorción de agua.</w:t>
      </w:r>
    </w:p>
    <w:p w14:paraId="12F4EE12" w14:textId="77777777" w:rsidR="004019BC" w:rsidRPr="003E6190" w:rsidRDefault="005003BB" w:rsidP="003E6190">
      <w:pPr>
        <w:jc w:val="both"/>
        <w:rPr>
          <w:rFonts w:hint="eastAsia"/>
          <w:i/>
          <w:sz w:val="28"/>
          <w:szCs w:val="28"/>
        </w:rPr>
      </w:pPr>
      <w:r w:rsidRPr="00674A30">
        <w:rPr>
          <w:i/>
          <w:sz w:val="28"/>
          <w:szCs w:val="28"/>
        </w:rPr>
        <w:tab/>
        <w:t xml:space="preserve">El Municipio ha realizado </w:t>
      </w:r>
      <w:r w:rsidR="003E6190">
        <w:rPr>
          <w:i/>
          <w:sz w:val="28"/>
          <w:szCs w:val="28"/>
        </w:rPr>
        <w:t>d</w:t>
      </w:r>
      <w:r w:rsidR="004019BC" w:rsidRPr="00674A30">
        <w:rPr>
          <w:i/>
          <w:sz w:val="28"/>
          <w:szCs w:val="28"/>
        </w:rPr>
        <w:t>urante el año</w:t>
      </w:r>
      <w:r w:rsidR="003E6190">
        <w:rPr>
          <w:i/>
          <w:sz w:val="28"/>
          <w:szCs w:val="28"/>
        </w:rPr>
        <w:t xml:space="preserve"> 2018</w:t>
      </w:r>
      <w:r w:rsidR="004019BC" w:rsidRPr="00674A30">
        <w:rPr>
          <w:i/>
          <w:sz w:val="28"/>
          <w:szCs w:val="28"/>
        </w:rPr>
        <w:t xml:space="preserve"> </w:t>
      </w:r>
      <w:r w:rsidR="003E6190">
        <w:rPr>
          <w:i/>
          <w:sz w:val="28"/>
          <w:szCs w:val="28"/>
        </w:rPr>
        <w:t>acciones</w:t>
      </w:r>
      <w:r w:rsidR="004019BC" w:rsidRPr="00674A30">
        <w:rPr>
          <w:i/>
          <w:sz w:val="28"/>
          <w:szCs w:val="28"/>
        </w:rPr>
        <w:t xml:space="preserve"> ante la Proc</w:t>
      </w:r>
      <w:r w:rsidR="003E6190">
        <w:rPr>
          <w:i/>
          <w:sz w:val="28"/>
          <w:szCs w:val="28"/>
        </w:rPr>
        <w:t xml:space="preserve">uración General de la Provincia por </w:t>
      </w:r>
      <w:r w:rsidR="004019BC" w:rsidRPr="00674A30">
        <w:rPr>
          <w:i/>
          <w:sz w:val="28"/>
          <w:szCs w:val="28"/>
        </w:rPr>
        <w:t>hechos de usurpación de espacios públicos</w:t>
      </w:r>
      <w:r w:rsidR="004019BC" w:rsidRPr="00674A30">
        <w:rPr>
          <w:rFonts w:cstheme="minorHAnsi"/>
          <w:i/>
          <w:sz w:val="28"/>
          <w:szCs w:val="28"/>
        </w:rPr>
        <w:t xml:space="preserve">, los que lejos de subsanar un reclamo legítimo de acceso a tierra y vivienda, genera la apropiación indebida, irregular, desordenada y desmedida de tierras públicas, afectando sectores con gran impacto ambiental como son los casos de bordes de laguna, calles y espacios verdes. Si bien se efectuaron las denuncias pertinentes, solo algunos de los expedientes han tenido avances. </w:t>
      </w:r>
      <w:r w:rsidR="003E6190">
        <w:rPr>
          <w:rFonts w:cstheme="minorHAnsi"/>
          <w:i/>
          <w:sz w:val="28"/>
          <w:szCs w:val="28"/>
        </w:rPr>
        <w:t>P</w:t>
      </w:r>
      <w:r w:rsidR="004019BC" w:rsidRPr="00674A30">
        <w:rPr>
          <w:rFonts w:cstheme="minorHAnsi"/>
          <w:i/>
          <w:sz w:val="28"/>
          <w:szCs w:val="28"/>
        </w:rPr>
        <w:t>ueden mencionarse</w:t>
      </w:r>
      <w:r w:rsidR="003E6190">
        <w:rPr>
          <w:rFonts w:cstheme="minorHAnsi"/>
          <w:i/>
          <w:sz w:val="28"/>
          <w:szCs w:val="28"/>
        </w:rPr>
        <w:t>, entre ello,</w:t>
      </w:r>
      <w:r w:rsidR="004019BC" w:rsidRPr="00674A30">
        <w:rPr>
          <w:rFonts w:cstheme="minorHAnsi"/>
          <w:i/>
          <w:sz w:val="28"/>
          <w:szCs w:val="28"/>
        </w:rPr>
        <w:t xml:space="preserve"> la ocupación de bordes de Laguna en Barrio Mujeres Argentinas-</w:t>
      </w:r>
      <w:r w:rsidR="004019BC" w:rsidRPr="00674A30">
        <w:rPr>
          <w:rFonts w:cstheme="minorHAnsi"/>
          <w:b/>
          <w:i/>
          <w:sz w:val="28"/>
          <w:szCs w:val="28"/>
        </w:rPr>
        <w:t xml:space="preserve"> </w:t>
      </w:r>
      <w:r w:rsidR="00BD553E">
        <w:rPr>
          <w:rFonts w:cstheme="minorHAnsi"/>
          <w:i/>
          <w:sz w:val="28"/>
          <w:szCs w:val="28"/>
        </w:rPr>
        <w:t>Expediente</w:t>
      </w:r>
      <w:r w:rsidR="004019BC" w:rsidRPr="00674A30">
        <w:rPr>
          <w:rFonts w:cstheme="minorHAnsi"/>
          <w:i/>
          <w:sz w:val="28"/>
          <w:szCs w:val="28"/>
        </w:rPr>
        <w:t xml:space="preserve"> N° 29856/2018-1, Villa Prosperidad -</w:t>
      </w:r>
      <w:r w:rsidR="00BD553E" w:rsidRPr="00BD553E">
        <w:rPr>
          <w:rFonts w:cstheme="minorHAnsi"/>
          <w:i/>
          <w:sz w:val="28"/>
          <w:szCs w:val="28"/>
        </w:rPr>
        <w:t xml:space="preserve"> </w:t>
      </w:r>
      <w:r w:rsidR="00BD553E">
        <w:rPr>
          <w:rFonts w:cstheme="minorHAnsi"/>
          <w:i/>
          <w:sz w:val="28"/>
          <w:szCs w:val="28"/>
        </w:rPr>
        <w:t>Expediente</w:t>
      </w:r>
      <w:r w:rsidR="00BD553E" w:rsidRPr="00674A30">
        <w:rPr>
          <w:rFonts w:cstheme="minorHAnsi"/>
          <w:i/>
          <w:sz w:val="28"/>
          <w:szCs w:val="28"/>
        </w:rPr>
        <w:t xml:space="preserve"> </w:t>
      </w:r>
      <w:r w:rsidR="004019BC" w:rsidRPr="00674A30">
        <w:rPr>
          <w:rFonts w:cstheme="minorHAnsi"/>
          <w:i/>
          <w:sz w:val="28"/>
          <w:szCs w:val="28"/>
        </w:rPr>
        <w:t>N° 28506/2018-1, Villa Chica -Lavalle al 1900 -</w:t>
      </w:r>
      <w:r w:rsidR="00BD553E" w:rsidRPr="00BD553E">
        <w:rPr>
          <w:rFonts w:cstheme="minorHAnsi"/>
          <w:i/>
          <w:sz w:val="28"/>
          <w:szCs w:val="28"/>
        </w:rPr>
        <w:t xml:space="preserve"> </w:t>
      </w:r>
      <w:r w:rsidR="00BD553E">
        <w:rPr>
          <w:rFonts w:cstheme="minorHAnsi"/>
          <w:i/>
          <w:sz w:val="28"/>
          <w:szCs w:val="28"/>
        </w:rPr>
        <w:t>Expediente</w:t>
      </w:r>
      <w:r w:rsidR="00BD553E" w:rsidRPr="00674A30">
        <w:rPr>
          <w:rFonts w:cstheme="minorHAnsi"/>
          <w:i/>
          <w:sz w:val="28"/>
          <w:szCs w:val="28"/>
        </w:rPr>
        <w:t xml:space="preserve"> </w:t>
      </w:r>
      <w:r w:rsidR="004019BC" w:rsidRPr="00674A30">
        <w:rPr>
          <w:rFonts w:cstheme="minorHAnsi"/>
          <w:i/>
          <w:sz w:val="28"/>
          <w:szCs w:val="28"/>
        </w:rPr>
        <w:t>N° 28917/2018-1, Barrio La Liguria -</w:t>
      </w:r>
      <w:r w:rsidR="00BD553E" w:rsidRPr="00BD553E">
        <w:rPr>
          <w:rFonts w:cstheme="minorHAnsi"/>
          <w:i/>
          <w:sz w:val="28"/>
          <w:szCs w:val="28"/>
        </w:rPr>
        <w:t xml:space="preserve"> </w:t>
      </w:r>
      <w:r w:rsidR="00BD553E">
        <w:rPr>
          <w:rFonts w:cstheme="minorHAnsi"/>
          <w:i/>
          <w:sz w:val="28"/>
          <w:szCs w:val="28"/>
        </w:rPr>
        <w:t>Expediente</w:t>
      </w:r>
      <w:r w:rsidR="00BD553E" w:rsidRPr="00674A30">
        <w:rPr>
          <w:rFonts w:cstheme="minorHAnsi"/>
          <w:i/>
          <w:sz w:val="28"/>
          <w:szCs w:val="28"/>
        </w:rPr>
        <w:t xml:space="preserve"> </w:t>
      </w:r>
      <w:r w:rsidR="004019BC" w:rsidRPr="00674A30">
        <w:rPr>
          <w:rFonts w:cstheme="minorHAnsi"/>
          <w:i/>
          <w:sz w:val="28"/>
          <w:szCs w:val="28"/>
        </w:rPr>
        <w:t>N° 32953/2018, Villa Donovan -</w:t>
      </w:r>
      <w:r w:rsidR="00BD553E" w:rsidRPr="00BD553E">
        <w:rPr>
          <w:rFonts w:cstheme="minorHAnsi"/>
          <w:i/>
          <w:sz w:val="28"/>
          <w:szCs w:val="28"/>
        </w:rPr>
        <w:t xml:space="preserve"> </w:t>
      </w:r>
      <w:r w:rsidR="00BD553E">
        <w:rPr>
          <w:rFonts w:cstheme="minorHAnsi"/>
          <w:i/>
          <w:sz w:val="28"/>
          <w:szCs w:val="28"/>
        </w:rPr>
        <w:t>Expediente</w:t>
      </w:r>
      <w:r w:rsidR="00BD553E" w:rsidRPr="00674A30">
        <w:rPr>
          <w:rFonts w:cstheme="minorHAnsi"/>
          <w:i/>
          <w:sz w:val="28"/>
          <w:szCs w:val="28"/>
        </w:rPr>
        <w:t xml:space="preserve"> </w:t>
      </w:r>
      <w:r w:rsidR="004019BC" w:rsidRPr="00674A30">
        <w:rPr>
          <w:rFonts w:cstheme="minorHAnsi"/>
          <w:i/>
          <w:sz w:val="28"/>
          <w:szCs w:val="28"/>
        </w:rPr>
        <w:t>N° 34.092-2018-1 y borde costero del Rio Negro en Villa Fabiana -</w:t>
      </w:r>
      <w:r w:rsidR="00BD553E" w:rsidRPr="00BD553E">
        <w:rPr>
          <w:rFonts w:cstheme="minorHAnsi"/>
          <w:i/>
          <w:sz w:val="28"/>
          <w:szCs w:val="28"/>
        </w:rPr>
        <w:t xml:space="preserve"> </w:t>
      </w:r>
      <w:r w:rsidR="00BD553E">
        <w:rPr>
          <w:rFonts w:cstheme="minorHAnsi"/>
          <w:i/>
          <w:sz w:val="28"/>
          <w:szCs w:val="28"/>
        </w:rPr>
        <w:t>Expediente</w:t>
      </w:r>
      <w:r w:rsidR="00BD553E" w:rsidRPr="00674A30">
        <w:rPr>
          <w:rFonts w:cstheme="minorHAnsi"/>
          <w:i/>
          <w:sz w:val="28"/>
          <w:szCs w:val="28"/>
        </w:rPr>
        <w:t xml:space="preserve"> </w:t>
      </w:r>
      <w:r w:rsidR="004019BC" w:rsidRPr="00674A30">
        <w:rPr>
          <w:rFonts w:cstheme="minorHAnsi"/>
          <w:i/>
          <w:sz w:val="28"/>
          <w:szCs w:val="28"/>
        </w:rPr>
        <w:t>N° 32475/2018-1.</w:t>
      </w:r>
    </w:p>
    <w:p w14:paraId="595DF198" w14:textId="77777777" w:rsidR="005003BB" w:rsidRPr="00674A30" w:rsidRDefault="005003BB" w:rsidP="00B37994">
      <w:pPr>
        <w:jc w:val="both"/>
        <w:rPr>
          <w:rFonts w:hint="eastAsia"/>
          <w:i/>
          <w:sz w:val="28"/>
          <w:szCs w:val="28"/>
        </w:rPr>
      </w:pPr>
      <w:r w:rsidRPr="00674A30">
        <w:rPr>
          <w:i/>
          <w:sz w:val="28"/>
          <w:szCs w:val="28"/>
        </w:rPr>
        <w:tab/>
      </w:r>
      <w:r w:rsidR="00E90B83" w:rsidRPr="00674A30">
        <w:rPr>
          <w:i/>
          <w:sz w:val="28"/>
          <w:szCs w:val="28"/>
        </w:rPr>
        <w:t>El ejercicio del poder de policía municipal establecido en la COM a partir de los artículos 16</w:t>
      </w:r>
      <w:r w:rsidR="003925E5" w:rsidRPr="00674A30">
        <w:rPr>
          <w:i/>
          <w:sz w:val="28"/>
          <w:szCs w:val="28"/>
        </w:rPr>
        <w:t>3</w:t>
      </w:r>
      <w:r w:rsidR="00E90B83" w:rsidRPr="00674A30">
        <w:rPr>
          <w:i/>
          <w:sz w:val="28"/>
          <w:szCs w:val="28"/>
        </w:rPr>
        <w:t xml:space="preserve"> al 16</w:t>
      </w:r>
      <w:r w:rsidR="003E6190">
        <w:rPr>
          <w:i/>
          <w:sz w:val="28"/>
          <w:szCs w:val="28"/>
        </w:rPr>
        <w:t>5</w:t>
      </w:r>
      <w:r w:rsidR="0062574A" w:rsidRPr="00674A30">
        <w:rPr>
          <w:i/>
          <w:sz w:val="28"/>
          <w:szCs w:val="28"/>
        </w:rPr>
        <w:t>,</w:t>
      </w:r>
      <w:r w:rsidR="00E90B83" w:rsidRPr="00674A30">
        <w:rPr>
          <w:i/>
          <w:sz w:val="28"/>
          <w:szCs w:val="28"/>
        </w:rPr>
        <w:t xml:space="preserve"> se aplica a partir del año 2018 por parte de nuestra gestión municipal. Capacitar el personal, unificar personería, garantizar un programa eficiente de control requiere un proceso con la combinación óptima de tecnología, recursos humanos calificados y plan de acción operativa.</w:t>
      </w:r>
    </w:p>
    <w:p w14:paraId="040A31E2" w14:textId="77777777" w:rsidR="00E90B83" w:rsidRPr="00674A30" w:rsidRDefault="00E90B83" w:rsidP="00B37994">
      <w:pPr>
        <w:jc w:val="both"/>
        <w:rPr>
          <w:rFonts w:hint="eastAsia"/>
          <w:i/>
          <w:strike/>
          <w:sz w:val="28"/>
          <w:szCs w:val="28"/>
        </w:rPr>
      </w:pPr>
      <w:r w:rsidRPr="00674A30">
        <w:rPr>
          <w:i/>
          <w:sz w:val="28"/>
          <w:szCs w:val="28"/>
        </w:rPr>
        <w:tab/>
        <w:t>Este municipio tiene 12</w:t>
      </w:r>
      <w:r w:rsidR="003E6190">
        <w:rPr>
          <w:i/>
          <w:sz w:val="28"/>
          <w:szCs w:val="28"/>
        </w:rPr>
        <w:t>0</w:t>
      </w:r>
      <w:r w:rsidR="0062574A" w:rsidRPr="00674A30">
        <w:rPr>
          <w:i/>
          <w:sz w:val="28"/>
          <w:szCs w:val="28"/>
        </w:rPr>
        <w:t>.</w:t>
      </w:r>
      <w:r w:rsidRPr="00674A30">
        <w:rPr>
          <w:i/>
          <w:sz w:val="28"/>
          <w:szCs w:val="28"/>
        </w:rPr>
        <w:t>000 parcelas urbanas ocupadas, 97</w:t>
      </w:r>
      <w:r w:rsidR="0062574A" w:rsidRPr="00674A30">
        <w:rPr>
          <w:i/>
          <w:sz w:val="28"/>
          <w:szCs w:val="28"/>
        </w:rPr>
        <w:t>.</w:t>
      </w:r>
      <w:r w:rsidRPr="00674A30">
        <w:rPr>
          <w:i/>
          <w:sz w:val="28"/>
          <w:szCs w:val="28"/>
        </w:rPr>
        <w:t xml:space="preserve">000 identificadas catastralmente con emisión de tributos, 65 chacras ocupadas y casi </w:t>
      </w:r>
      <w:r w:rsidR="0062574A" w:rsidRPr="00674A30">
        <w:rPr>
          <w:i/>
          <w:sz w:val="28"/>
          <w:szCs w:val="28"/>
        </w:rPr>
        <w:t xml:space="preserve">7.653 </w:t>
      </w:r>
      <w:r w:rsidRPr="00674A30">
        <w:rPr>
          <w:i/>
          <w:sz w:val="28"/>
          <w:szCs w:val="28"/>
        </w:rPr>
        <w:t xml:space="preserve">hectáreas </w:t>
      </w:r>
      <w:r w:rsidR="0062574A" w:rsidRPr="00674A30">
        <w:rPr>
          <w:i/>
          <w:sz w:val="28"/>
          <w:szCs w:val="28"/>
        </w:rPr>
        <w:t xml:space="preserve">urbanizadas sobre un total  19.520 hectáreas del éjido municipal y 154.662 hectáreas de su área de influencia. </w:t>
      </w:r>
    </w:p>
    <w:p w14:paraId="16286087" w14:textId="77777777" w:rsidR="00DF0CD1" w:rsidRPr="00674A30" w:rsidRDefault="00E90B83" w:rsidP="00B37994">
      <w:pPr>
        <w:jc w:val="both"/>
        <w:rPr>
          <w:rFonts w:hint="eastAsia"/>
          <w:i/>
          <w:sz w:val="28"/>
          <w:szCs w:val="28"/>
        </w:rPr>
      </w:pPr>
      <w:r w:rsidRPr="00674A30">
        <w:rPr>
          <w:i/>
          <w:sz w:val="28"/>
          <w:szCs w:val="28"/>
        </w:rPr>
        <w:tab/>
        <w:t>La ciudad posee 8</w:t>
      </w:r>
      <w:r w:rsidR="0062574A" w:rsidRPr="00674A30">
        <w:rPr>
          <w:i/>
          <w:sz w:val="28"/>
          <w:szCs w:val="28"/>
        </w:rPr>
        <w:t>.</w:t>
      </w:r>
      <w:r w:rsidRPr="00674A30">
        <w:rPr>
          <w:i/>
          <w:sz w:val="28"/>
          <w:szCs w:val="28"/>
        </w:rPr>
        <w:t xml:space="preserve">900 cuadras </w:t>
      </w:r>
      <w:r w:rsidR="0062574A" w:rsidRPr="00674A30">
        <w:rPr>
          <w:i/>
          <w:sz w:val="28"/>
          <w:szCs w:val="28"/>
        </w:rPr>
        <w:t xml:space="preserve">con </w:t>
      </w:r>
      <w:r w:rsidRPr="00674A30">
        <w:rPr>
          <w:i/>
          <w:sz w:val="28"/>
          <w:szCs w:val="28"/>
        </w:rPr>
        <w:t xml:space="preserve">mayor circulación </w:t>
      </w:r>
      <w:r w:rsidR="0062574A" w:rsidRPr="00674A30">
        <w:rPr>
          <w:i/>
          <w:sz w:val="28"/>
          <w:szCs w:val="28"/>
        </w:rPr>
        <w:t xml:space="preserve">que suman </w:t>
      </w:r>
      <w:r w:rsidRPr="00674A30">
        <w:rPr>
          <w:i/>
          <w:sz w:val="28"/>
          <w:szCs w:val="28"/>
        </w:rPr>
        <w:t>10</w:t>
      </w:r>
      <w:r w:rsidR="0062574A" w:rsidRPr="00674A30">
        <w:rPr>
          <w:i/>
          <w:sz w:val="28"/>
          <w:szCs w:val="28"/>
        </w:rPr>
        <w:t>.</w:t>
      </w:r>
      <w:r w:rsidRPr="00674A30">
        <w:rPr>
          <w:i/>
          <w:sz w:val="28"/>
          <w:szCs w:val="28"/>
        </w:rPr>
        <w:t xml:space="preserve">700 </w:t>
      </w:r>
      <w:r w:rsidR="0062574A" w:rsidRPr="00674A30">
        <w:rPr>
          <w:i/>
          <w:sz w:val="28"/>
          <w:szCs w:val="28"/>
        </w:rPr>
        <w:t>cuadras si se</w:t>
      </w:r>
      <w:r w:rsidRPr="00674A30">
        <w:rPr>
          <w:i/>
          <w:sz w:val="28"/>
          <w:szCs w:val="28"/>
        </w:rPr>
        <w:t xml:space="preserve"> consideran </w:t>
      </w:r>
      <w:r w:rsidR="0062574A" w:rsidRPr="00674A30">
        <w:rPr>
          <w:i/>
          <w:sz w:val="28"/>
          <w:szCs w:val="28"/>
        </w:rPr>
        <w:t xml:space="preserve">las </w:t>
      </w:r>
      <w:r w:rsidRPr="00674A30">
        <w:rPr>
          <w:i/>
          <w:sz w:val="28"/>
          <w:szCs w:val="28"/>
        </w:rPr>
        <w:t>conexiones con caminos en zonas periurbanas</w:t>
      </w:r>
      <w:r w:rsidR="004019BC" w:rsidRPr="00674A30">
        <w:rPr>
          <w:i/>
          <w:sz w:val="28"/>
          <w:szCs w:val="28"/>
        </w:rPr>
        <w:t>.</w:t>
      </w:r>
      <w:r w:rsidRPr="00674A30">
        <w:rPr>
          <w:i/>
          <w:sz w:val="28"/>
          <w:szCs w:val="28"/>
        </w:rPr>
        <w:t xml:space="preserve"> </w:t>
      </w:r>
      <w:r w:rsidR="0062574A" w:rsidRPr="00674A30">
        <w:rPr>
          <w:i/>
          <w:sz w:val="28"/>
          <w:szCs w:val="28"/>
        </w:rPr>
        <w:t xml:space="preserve">Posee 2.852 cuadras pavimentadas </w:t>
      </w:r>
      <w:r w:rsidR="00C41602" w:rsidRPr="00674A30">
        <w:rPr>
          <w:i/>
          <w:sz w:val="28"/>
          <w:szCs w:val="28"/>
        </w:rPr>
        <w:t>con</w:t>
      </w:r>
      <w:r w:rsidR="0062574A" w:rsidRPr="00674A30">
        <w:rPr>
          <w:i/>
          <w:sz w:val="28"/>
          <w:szCs w:val="28"/>
        </w:rPr>
        <w:t xml:space="preserve"> </w:t>
      </w:r>
      <w:r w:rsidRPr="00674A30">
        <w:rPr>
          <w:i/>
          <w:sz w:val="28"/>
          <w:szCs w:val="28"/>
        </w:rPr>
        <w:t>3</w:t>
      </w:r>
      <w:r w:rsidR="00C41602" w:rsidRPr="00674A30">
        <w:rPr>
          <w:i/>
          <w:sz w:val="28"/>
          <w:szCs w:val="28"/>
        </w:rPr>
        <w:t>.</w:t>
      </w:r>
      <w:r w:rsidRPr="00674A30">
        <w:rPr>
          <w:i/>
          <w:sz w:val="28"/>
          <w:szCs w:val="28"/>
        </w:rPr>
        <w:t>5</w:t>
      </w:r>
      <w:r w:rsidR="0062574A" w:rsidRPr="00674A30">
        <w:rPr>
          <w:i/>
          <w:sz w:val="28"/>
          <w:szCs w:val="28"/>
        </w:rPr>
        <w:t>17</w:t>
      </w:r>
      <w:r w:rsidRPr="00674A30">
        <w:rPr>
          <w:i/>
          <w:sz w:val="28"/>
          <w:szCs w:val="28"/>
        </w:rPr>
        <w:t xml:space="preserve"> calzadas </w:t>
      </w:r>
      <w:r w:rsidR="0062574A" w:rsidRPr="00674A30">
        <w:rPr>
          <w:i/>
          <w:sz w:val="28"/>
          <w:szCs w:val="28"/>
        </w:rPr>
        <w:t>con</w:t>
      </w:r>
      <w:r w:rsidRPr="00674A30">
        <w:rPr>
          <w:i/>
          <w:sz w:val="28"/>
          <w:szCs w:val="28"/>
        </w:rPr>
        <w:t xml:space="preserve"> pavimento urbano</w:t>
      </w:r>
      <w:r w:rsidR="00C41602" w:rsidRPr="00674A30">
        <w:rPr>
          <w:i/>
          <w:sz w:val="28"/>
          <w:szCs w:val="28"/>
        </w:rPr>
        <w:t>,</w:t>
      </w:r>
      <w:r w:rsidRPr="00674A30">
        <w:rPr>
          <w:i/>
          <w:sz w:val="28"/>
          <w:szCs w:val="28"/>
        </w:rPr>
        <w:t xml:space="preserve"> alcanzando al 3</w:t>
      </w:r>
      <w:r w:rsidR="00B32A3B" w:rsidRPr="00674A30">
        <w:rPr>
          <w:i/>
          <w:sz w:val="28"/>
          <w:szCs w:val="28"/>
        </w:rPr>
        <w:t>2</w:t>
      </w:r>
      <w:r w:rsidRPr="00674A30">
        <w:rPr>
          <w:i/>
          <w:sz w:val="28"/>
          <w:szCs w:val="28"/>
        </w:rPr>
        <w:t xml:space="preserve">% de las cuadras </w:t>
      </w:r>
      <w:r w:rsidR="0062574A" w:rsidRPr="00674A30">
        <w:rPr>
          <w:i/>
          <w:sz w:val="28"/>
          <w:szCs w:val="28"/>
        </w:rPr>
        <w:t>totales</w:t>
      </w:r>
      <w:r w:rsidRPr="00674A30">
        <w:rPr>
          <w:i/>
          <w:sz w:val="28"/>
          <w:szCs w:val="28"/>
        </w:rPr>
        <w:t xml:space="preserve">. Existen </w:t>
      </w:r>
      <w:r w:rsidR="00B32A3B" w:rsidRPr="00674A30">
        <w:rPr>
          <w:i/>
          <w:sz w:val="28"/>
          <w:szCs w:val="28"/>
        </w:rPr>
        <w:t>4.03</w:t>
      </w:r>
      <w:r w:rsidR="003E6190">
        <w:rPr>
          <w:i/>
          <w:sz w:val="28"/>
          <w:szCs w:val="28"/>
        </w:rPr>
        <w:t xml:space="preserve">5 </w:t>
      </w:r>
      <w:r w:rsidRPr="00674A30">
        <w:rPr>
          <w:i/>
          <w:sz w:val="28"/>
          <w:szCs w:val="28"/>
        </w:rPr>
        <w:t xml:space="preserve">cuadras </w:t>
      </w:r>
      <w:r w:rsidR="00B32A3B" w:rsidRPr="00674A30">
        <w:rPr>
          <w:i/>
          <w:sz w:val="28"/>
          <w:szCs w:val="28"/>
        </w:rPr>
        <w:t xml:space="preserve">con </w:t>
      </w:r>
      <w:r w:rsidRPr="00674A30">
        <w:rPr>
          <w:i/>
          <w:sz w:val="28"/>
          <w:szCs w:val="28"/>
        </w:rPr>
        <w:t xml:space="preserve">ripio debidamente auditadas </w:t>
      </w:r>
      <w:r w:rsidR="00B32A3B" w:rsidRPr="00674A30">
        <w:rPr>
          <w:i/>
          <w:sz w:val="28"/>
          <w:szCs w:val="28"/>
        </w:rPr>
        <w:t xml:space="preserve">que representan al </w:t>
      </w:r>
      <w:r w:rsidR="00C41602" w:rsidRPr="00674A30">
        <w:rPr>
          <w:i/>
          <w:sz w:val="28"/>
          <w:szCs w:val="28"/>
        </w:rPr>
        <w:t>37</w:t>
      </w:r>
      <w:r w:rsidRPr="00674A30">
        <w:rPr>
          <w:i/>
          <w:sz w:val="28"/>
          <w:szCs w:val="28"/>
        </w:rPr>
        <w:t xml:space="preserve">% del total de cuadras, pero sólo </w:t>
      </w:r>
      <w:r w:rsidR="00B32A3B" w:rsidRPr="00674A30">
        <w:rPr>
          <w:i/>
          <w:sz w:val="28"/>
          <w:szCs w:val="28"/>
        </w:rPr>
        <w:t>1.573</w:t>
      </w:r>
      <w:r w:rsidR="0035573F">
        <w:rPr>
          <w:i/>
          <w:sz w:val="28"/>
          <w:szCs w:val="28"/>
        </w:rPr>
        <w:t xml:space="preserve"> e</w:t>
      </w:r>
      <w:r w:rsidRPr="00674A30">
        <w:rPr>
          <w:i/>
          <w:sz w:val="28"/>
          <w:szCs w:val="28"/>
        </w:rPr>
        <w:t>stán en óptimas condiciones de circulación</w:t>
      </w:r>
      <w:r w:rsidR="00B32A3B" w:rsidRPr="00674A30">
        <w:rPr>
          <w:i/>
          <w:sz w:val="28"/>
          <w:szCs w:val="28"/>
        </w:rPr>
        <w:t xml:space="preserve"> y otras 2.760 cuadras en regular estado de circulación. Esto </w:t>
      </w:r>
      <w:r w:rsidR="00DF0CD1" w:rsidRPr="00674A30">
        <w:rPr>
          <w:i/>
          <w:sz w:val="28"/>
          <w:szCs w:val="28"/>
        </w:rPr>
        <w:t xml:space="preserve">implica que </w:t>
      </w:r>
      <w:r w:rsidR="00B32A3B" w:rsidRPr="00674A30">
        <w:rPr>
          <w:i/>
          <w:sz w:val="28"/>
          <w:szCs w:val="28"/>
        </w:rPr>
        <w:t>existen 2.17</w:t>
      </w:r>
      <w:r w:rsidR="003E6190">
        <w:rPr>
          <w:i/>
          <w:sz w:val="28"/>
          <w:szCs w:val="28"/>
        </w:rPr>
        <w:t>9 cuadras de ripio</w:t>
      </w:r>
      <w:r w:rsidR="00B32A3B" w:rsidRPr="00674A30">
        <w:rPr>
          <w:i/>
          <w:sz w:val="28"/>
          <w:szCs w:val="28"/>
        </w:rPr>
        <w:t xml:space="preserve">, sumado a </w:t>
      </w:r>
      <w:r w:rsidR="00C41602" w:rsidRPr="00674A30">
        <w:rPr>
          <w:i/>
          <w:sz w:val="28"/>
          <w:szCs w:val="28"/>
        </w:rPr>
        <w:t xml:space="preserve">3.515 cuadras de tierra que </w:t>
      </w:r>
      <w:r w:rsidR="00DF0CD1" w:rsidRPr="00674A30">
        <w:rPr>
          <w:i/>
          <w:sz w:val="28"/>
          <w:szCs w:val="28"/>
        </w:rPr>
        <w:t xml:space="preserve">presentan dificultades de </w:t>
      </w:r>
      <w:r w:rsidR="00DF0CD1" w:rsidRPr="00674A30">
        <w:rPr>
          <w:i/>
          <w:sz w:val="28"/>
          <w:szCs w:val="28"/>
        </w:rPr>
        <w:lastRenderedPageBreak/>
        <w:t xml:space="preserve">circulación </w:t>
      </w:r>
      <w:r w:rsidR="00C41602" w:rsidRPr="00674A30">
        <w:rPr>
          <w:i/>
          <w:sz w:val="28"/>
          <w:szCs w:val="28"/>
        </w:rPr>
        <w:t xml:space="preserve">en periodos lluviosos </w:t>
      </w:r>
      <w:r w:rsidR="00DF0CD1" w:rsidRPr="00674A30">
        <w:rPr>
          <w:i/>
          <w:sz w:val="28"/>
          <w:szCs w:val="28"/>
        </w:rPr>
        <w:t>generando objetivamente dificultades en la prestación de servicios.</w:t>
      </w:r>
    </w:p>
    <w:p w14:paraId="260BE214" w14:textId="77777777" w:rsidR="00235B8E" w:rsidRDefault="00DF0CD1" w:rsidP="00B37994">
      <w:pPr>
        <w:jc w:val="both"/>
        <w:rPr>
          <w:rFonts w:hint="eastAsia"/>
          <w:i/>
          <w:sz w:val="28"/>
          <w:szCs w:val="28"/>
        </w:rPr>
      </w:pPr>
      <w:r w:rsidRPr="00674A30">
        <w:rPr>
          <w:i/>
          <w:sz w:val="28"/>
          <w:szCs w:val="28"/>
        </w:rPr>
        <w:tab/>
        <w:t>Por ese motivo cuando llueve copiosamente existen dificultades para la recolección de residuos sólidos urbanos</w:t>
      </w:r>
      <w:r w:rsidR="004B5DEC" w:rsidRPr="00674A30">
        <w:rPr>
          <w:i/>
          <w:sz w:val="28"/>
          <w:szCs w:val="28"/>
        </w:rPr>
        <w:t>,</w:t>
      </w:r>
      <w:r w:rsidRPr="00674A30">
        <w:rPr>
          <w:i/>
          <w:sz w:val="28"/>
          <w:szCs w:val="28"/>
        </w:rPr>
        <w:t xml:space="preserve"> tradicionales y no tradicionales, par</w:t>
      </w:r>
      <w:r w:rsidR="004B5DEC" w:rsidRPr="00674A30">
        <w:rPr>
          <w:i/>
          <w:sz w:val="28"/>
          <w:szCs w:val="28"/>
        </w:rPr>
        <w:t>a</w:t>
      </w:r>
      <w:r w:rsidRPr="00674A30">
        <w:rPr>
          <w:i/>
          <w:sz w:val="28"/>
          <w:szCs w:val="28"/>
        </w:rPr>
        <w:t xml:space="preserve"> los servicios de transporte público de pasajeros y para </w:t>
      </w:r>
      <w:r w:rsidR="00806A3C" w:rsidRPr="00674A30">
        <w:rPr>
          <w:i/>
          <w:sz w:val="28"/>
          <w:szCs w:val="28"/>
        </w:rPr>
        <w:t>las diferentes</w:t>
      </w:r>
      <w:r w:rsidRPr="00674A30">
        <w:rPr>
          <w:i/>
          <w:sz w:val="28"/>
          <w:szCs w:val="28"/>
        </w:rPr>
        <w:t xml:space="preserve"> prestaciones </w:t>
      </w:r>
      <w:r w:rsidR="004B5DEC" w:rsidRPr="00674A30">
        <w:rPr>
          <w:i/>
          <w:sz w:val="28"/>
          <w:szCs w:val="28"/>
        </w:rPr>
        <w:t xml:space="preserve">como </w:t>
      </w:r>
      <w:r w:rsidRPr="00674A30">
        <w:rPr>
          <w:i/>
          <w:sz w:val="28"/>
          <w:szCs w:val="28"/>
        </w:rPr>
        <w:t>alumbrado, barrido, limpieza, poda y otras cuestiones conexas.</w:t>
      </w:r>
      <w:r w:rsidR="000E142D" w:rsidRPr="00674A30">
        <w:rPr>
          <w:i/>
          <w:sz w:val="28"/>
          <w:szCs w:val="28"/>
        </w:rPr>
        <w:t xml:space="preserve"> En estos términos </w:t>
      </w:r>
      <w:r w:rsidR="000E142D">
        <w:rPr>
          <w:i/>
          <w:sz w:val="28"/>
          <w:szCs w:val="28"/>
        </w:rPr>
        <w:t>el 54% de la superficie de la ciudad se ve afectada, lo que implica el 20% del total de inmuebles.</w:t>
      </w:r>
    </w:p>
    <w:p w14:paraId="30ECD43C" w14:textId="77777777" w:rsidR="000C0650" w:rsidRDefault="000C0650" w:rsidP="000C0650">
      <w:pPr>
        <w:jc w:val="center"/>
        <w:rPr>
          <w:rFonts w:hint="eastAsia"/>
          <w:i/>
          <w:sz w:val="28"/>
          <w:szCs w:val="28"/>
        </w:rPr>
      </w:pPr>
      <w:r w:rsidRPr="002136E3">
        <w:rPr>
          <w:b/>
          <w:i/>
          <w:sz w:val="28"/>
          <w:szCs w:val="28"/>
        </w:rPr>
        <w:t xml:space="preserve">Gráfico </w:t>
      </w:r>
      <w:r w:rsidR="003E6190">
        <w:rPr>
          <w:b/>
          <w:i/>
          <w:sz w:val="28"/>
          <w:szCs w:val="28"/>
        </w:rPr>
        <w:t>5</w:t>
      </w:r>
      <w:r w:rsidRPr="002136E3">
        <w:rPr>
          <w:b/>
          <w:i/>
          <w:sz w:val="28"/>
          <w:szCs w:val="28"/>
        </w:rPr>
        <w:t xml:space="preserve">: </w:t>
      </w:r>
      <w:r>
        <w:rPr>
          <w:b/>
          <w:i/>
          <w:sz w:val="28"/>
          <w:szCs w:val="28"/>
        </w:rPr>
        <w:t>Zonas principalmente afectadas</w:t>
      </w:r>
      <w:r w:rsidRPr="002136E3">
        <w:rPr>
          <w:b/>
          <w:i/>
          <w:sz w:val="28"/>
          <w:szCs w:val="28"/>
        </w:rPr>
        <w:t xml:space="preserve"> </w:t>
      </w:r>
      <w:r w:rsidR="006F7CC9">
        <w:rPr>
          <w:b/>
          <w:i/>
          <w:sz w:val="28"/>
          <w:szCs w:val="28"/>
        </w:rPr>
        <w:t>con servicios diferenciados.</w:t>
      </w:r>
    </w:p>
    <w:p w14:paraId="0896D9C4" w14:textId="77777777" w:rsidR="00E623F3" w:rsidRDefault="00CB1421" w:rsidP="003925E5">
      <w:pPr>
        <w:jc w:val="center"/>
        <w:rPr>
          <w:rFonts w:hint="eastAsia"/>
          <w:i/>
          <w:sz w:val="28"/>
          <w:szCs w:val="28"/>
        </w:rPr>
      </w:pPr>
      <w:r>
        <w:rPr>
          <w:noProof/>
          <w:lang w:val="en-US" w:eastAsia="en-US"/>
        </w:rPr>
        <w:drawing>
          <wp:inline distT="0" distB="0" distL="0" distR="0" wp14:anchorId="14FFE2BA" wp14:editId="37A9AC73">
            <wp:extent cx="5612130" cy="4329430"/>
            <wp:effectExtent l="0" t="6350" r="127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rot="5400000">
                      <a:off x="0" y="0"/>
                      <a:ext cx="5612130" cy="4329430"/>
                    </a:xfrm>
                    <a:prstGeom prst="rect">
                      <a:avLst/>
                    </a:prstGeom>
                  </pic:spPr>
                </pic:pic>
              </a:graphicData>
            </a:graphic>
          </wp:inline>
        </w:drawing>
      </w:r>
    </w:p>
    <w:p w14:paraId="1E2CF11F" w14:textId="77777777" w:rsidR="00DF0CD1" w:rsidRPr="00674A30" w:rsidRDefault="00DF0CD1" w:rsidP="00B37994">
      <w:pPr>
        <w:jc w:val="both"/>
        <w:rPr>
          <w:rFonts w:hint="eastAsia"/>
          <w:i/>
          <w:sz w:val="28"/>
          <w:szCs w:val="28"/>
        </w:rPr>
      </w:pPr>
      <w:r>
        <w:rPr>
          <w:i/>
          <w:sz w:val="28"/>
          <w:szCs w:val="28"/>
        </w:rPr>
        <w:lastRenderedPageBreak/>
        <w:tab/>
        <w:t xml:space="preserve">El Municipio tiene un </w:t>
      </w:r>
      <w:r w:rsidRPr="00674A30">
        <w:rPr>
          <w:i/>
          <w:sz w:val="28"/>
          <w:szCs w:val="28"/>
        </w:rPr>
        <w:t xml:space="preserve">presupuesto </w:t>
      </w:r>
      <w:r w:rsidR="004B5DEC" w:rsidRPr="00674A30">
        <w:rPr>
          <w:i/>
          <w:sz w:val="28"/>
          <w:szCs w:val="28"/>
        </w:rPr>
        <w:t>para el año 2019 equivalente a</w:t>
      </w:r>
      <w:r w:rsidRPr="00674A30">
        <w:rPr>
          <w:i/>
          <w:sz w:val="28"/>
          <w:szCs w:val="28"/>
        </w:rPr>
        <w:t xml:space="preserve"> 120 </w:t>
      </w:r>
      <w:r w:rsidR="00060F7A">
        <w:rPr>
          <w:i/>
          <w:sz w:val="28"/>
          <w:szCs w:val="28"/>
        </w:rPr>
        <w:t>millones</w:t>
      </w:r>
      <w:r w:rsidR="00060F7A" w:rsidRPr="00674A30">
        <w:rPr>
          <w:i/>
          <w:sz w:val="28"/>
          <w:szCs w:val="28"/>
        </w:rPr>
        <w:t xml:space="preserve"> </w:t>
      </w:r>
      <w:r w:rsidRPr="00674A30">
        <w:rPr>
          <w:i/>
          <w:sz w:val="28"/>
          <w:szCs w:val="28"/>
        </w:rPr>
        <w:t xml:space="preserve">de dólares, de los cuales 20 </w:t>
      </w:r>
      <w:r w:rsidR="00060F7A">
        <w:rPr>
          <w:i/>
          <w:sz w:val="28"/>
          <w:szCs w:val="28"/>
        </w:rPr>
        <w:t>millones</w:t>
      </w:r>
      <w:r w:rsidR="00060F7A" w:rsidRPr="00674A30">
        <w:rPr>
          <w:i/>
          <w:sz w:val="28"/>
          <w:szCs w:val="28"/>
        </w:rPr>
        <w:t xml:space="preserve"> </w:t>
      </w:r>
      <w:r w:rsidRPr="00674A30">
        <w:rPr>
          <w:i/>
          <w:sz w:val="28"/>
          <w:szCs w:val="28"/>
        </w:rPr>
        <w:t xml:space="preserve">de dólares se destinarán a inversiones en infraestructura social básica. Es insuficiente </w:t>
      </w:r>
      <w:r>
        <w:rPr>
          <w:i/>
          <w:sz w:val="28"/>
          <w:szCs w:val="28"/>
        </w:rPr>
        <w:t>para la magnitud de las inversiones a realizar pues la ciudad necesita 1</w:t>
      </w:r>
      <w:r w:rsidR="004B5DEC">
        <w:rPr>
          <w:i/>
          <w:sz w:val="28"/>
          <w:szCs w:val="28"/>
        </w:rPr>
        <w:t>.</w:t>
      </w:r>
      <w:r>
        <w:rPr>
          <w:i/>
          <w:sz w:val="28"/>
          <w:szCs w:val="28"/>
        </w:rPr>
        <w:t xml:space="preserve">000 </w:t>
      </w:r>
      <w:r w:rsidR="00060F7A">
        <w:rPr>
          <w:i/>
          <w:sz w:val="28"/>
          <w:szCs w:val="28"/>
        </w:rPr>
        <w:t>millones</w:t>
      </w:r>
      <w:r w:rsidR="00060F7A" w:rsidRPr="00674A30">
        <w:rPr>
          <w:i/>
          <w:sz w:val="28"/>
          <w:szCs w:val="28"/>
        </w:rPr>
        <w:t xml:space="preserve"> </w:t>
      </w:r>
      <w:r>
        <w:rPr>
          <w:i/>
          <w:sz w:val="28"/>
          <w:szCs w:val="28"/>
        </w:rPr>
        <w:t xml:space="preserve">de dólares de inversiones, 500 </w:t>
      </w:r>
      <w:r w:rsidR="00060F7A">
        <w:rPr>
          <w:i/>
          <w:sz w:val="28"/>
          <w:szCs w:val="28"/>
        </w:rPr>
        <w:t>millones</w:t>
      </w:r>
      <w:r w:rsidR="00060F7A" w:rsidRPr="00674A30">
        <w:rPr>
          <w:i/>
          <w:sz w:val="28"/>
          <w:szCs w:val="28"/>
        </w:rPr>
        <w:t xml:space="preserve"> </w:t>
      </w:r>
      <w:r>
        <w:rPr>
          <w:i/>
          <w:sz w:val="28"/>
          <w:szCs w:val="28"/>
        </w:rPr>
        <w:t xml:space="preserve">de los </w:t>
      </w:r>
      <w:r w:rsidRPr="00674A30">
        <w:rPr>
          <w:i/>
          <w:sz w:val="28"/>
          <w:szCs w:val="28"/>
        </w:rPr>
        <w:t>cuales son urgentes.</w:t>
      </w:r>
    </w:p>
    <w:p w14:paraId="3D2AFF97" w14:textId="77777777" w:rsidR="00DF0CD1" w:rsidRPr="00674A30" w:rsidRDefault="00DF0CD1" w:rsidP="00B37994">
      <w:pPr>
        <w:jc w:val="both"/>
        <w:rPr>
          <w:rFonts w:hint="eastAsia"/>
          <w:i/>
          <w:sz w:val="28"/>
          <w:szCs w:val="28"/>
        </w:rPr>
      </w:pPr>
      <w:r w:rsidRPr="00674A30">
        <w:rPr>
          <w:i/>
          <w:sz w:val="28"/>
          <w:szCs w:val="28"/>
        </w:rPr>
        <w:tab/>
        <w:t>Después de recibir un municipio devastado de equipamiento, sobrepoblado de personal</w:t>
      </w:r>
      <w:r w:rsidR="004B5DEC" w:rsidRPr="00674A30">
        <w:rPr>
          <w:i/>
          <w:sz w:val="28"/>
          <w:szCs w:val="28"/>
        </w:rPr>
        <w:t>,</w:t>
      </w:r>
      <w:r w:rsidRPr="00674A30">
        <w:rPr>
          <w:i/>
          <w:sz w:val="28"/>
          <w:szCs w:val="28"/>
        </w:rPr>
        <w:t xml:space="preserve"> con un problema fiscal de magnitud y una inversión promedio en el período 1999-2015 </w:t>
      </w:r>
      <w:r w:rsidR="004B5DEC" w:rsidRPr="00674A30">
        <w:rPr>
          <w:i/>
          <w:sz w:val="28"/>
          <w:szCs w:val="28"/>
        </w:rPr>
        <w:t>equivalente a</w:t>
      </w:r>
      <w:r w:rsidRPr="00674A30">
        <w:rPr>
          <w:i/>
          <w:sz w:val="28"/>
          <w:szCs w:val="28"/>
        </w:rPr>
        <w:t xml:space="preserve"> 3 </w:t>
      </w:r>
      <w:r w:rsidR="00060F7A">
        <w:rPr>
          <w:i/>
          <w:sz w:val="28"/>
          <w:szCs w:val="28"/>
        </w:rPr>
        <w:t>millones</w:t>
      </w:r>
      <w:r w:rsidR="00060F7A" w:rsidRPr="00674A30">
        <w:rPr>
          <w:i/>
          <w:sz w:val="28"/>
          <w:szCs w:val="28"/>
        </w:rPr>
        <w:t xml:space="preserve"> </w:t>
      </w:r>
      <w:r w:rsidRPr="00674A30">
        <w:rPr>
          <w:i/>
          <w:sz w:val="28"/>
          <w:szCs w:val="28"/>
        </w:rPr>
        <w:t xml:space="preserve">de dólares anuales, invertir 20 </w:t>
      </w:r>
      <w:r w:rsidR="00060F7A">
        <w:rPr>
          <w:i/>
          <w:sz w:val="28"/>
          <w:szCs w:val="28"/>
        </w:rPr>
        <w:t>millones</w:t>
      </w:r>
      <w:r w:rsidR="00060F7A" w:rsidRPr="00674A30">
        <w:rPr>
          <w:i/>
          <w:sz w:val="28"/>
          <w:szCs w:val="28"/>
        </w:rPr>
        <w:t xml:space="preserve"> </w:t>
      </w:r>
      <w:r w:rsidRPr="00674A30">
        <w:rPr>
          <w:i/>
          <w:sz w:val="28"/>
          <w:szCs w:val="28"/>
        </w:rPr>
        <w:t xml:space="preserve">de dólares anuales es un consuelo, pero 50 </w:t>
      </w:r>
      <w:r w:rsidR="00E24788">
        <w:rPr>
          <w:i/>
          <w:sz w:val="28"/>
          <w:szCs w:val="28"/>
        </w:rPr>
        <w:t>millones</w:t>
      </w:r>
      <w:r w:rsidR="00E24788" w:rsidRPr="00674A30">
        <w:rPr>
          <w:i/>
          <w:sz w:val="28"/>
          <w:szCs w:val="28"/>
        </w:rPr>
        <w:t xml:space="preserve"> </w:t>
      </w:r>
      <w:r w:rsidRPr="00674A30">
        <w:rPr>
          <w:i/>
          <w:sz w:val="28"/>
          <w:szCs w:val="28"/>
        </w:rPr>
        <w:t>de dólares es una necesidad.</w:t>
      </w:r>
    </w:p>
    <w:p w14:paraId="359C08B7" w14:textId="77777777" w:rsidR="00DF0CD1" w:rsidRDefault="00DF0CD1" w:rsidP="00B37994">
      <w:pPr>
        <w:jc w:val="both"/>
        <w:rPr>
          <w:rFonts w:hint="eastAsia"/>
          <w:i/>
          <w:sz w:val="28"/>
          <w:szCs w:val="28"/>
        </w:rPr>
      </w:pPr>
      <w:r w:rsidRPr="00674A30">
        <w:rPr>
          <w:i/>
          <w:sz w:val="28"/>
          <w:szCs w:val="28"/>
        </w:rPr>
        <w:tab/>
        <w:t xml:space="preserve">El gobierno nacional nos quitó </w:t>
      </w:r>
      <w:r>
        <w:rPr>
          <w:i/>
          <w:sz w:val="28"/>
          <w:szCs w:val="28"/>
        </w:rPr>
        <w:t xml:space="preserve">de un plumazo 60 </w:t>
      </w:r>
      <w:r w:rsidR="00060F7A">
        <w:rPr>
          <w:i/>
          <w:sz w:val="28"/>
          <w:szCs w:val="28"/>
        </w:rPr>
        <w:t>millones</w:t>
      </w:r>
      <w:r w:rsidR="00060F7A" w:rsidRPr="00674A30">
        <w:rPr>
          <w:i/>
          <w:sz w:val="28"/>
          <w:szCs w:val="28"/>
        </w:rPr>
        <w:t xml:space="preserve"> </w:t>
      </w:r>
      <w:r>
        <w:rPr>
          <w:i/>
          <w:sz w:val="28"/>
          <w:szCs w:val="28"/>
        </w:rPr>
        <w:t>de dólares de recursos fiscales y financieros con financiamiento asegurado</w:t>
      </w:r>
      <w:r w:rsidR="004B5DEC">
        <w:rPr>
          <w:i/>
          <w:sz w:val="28"/>
          <w:szCs w:val="28"/>
        </w:rPr>
        <w:t>.</w:t>
      </w:r>
      <w:r>
        <w:rPr>
          <w:i/>
          <w:sz w:val="28"/>
          <w:szCs w:val="28"/>
        </w:rPr>
        <w:t xml:space="preserve"> </w:t>
      </w:r>
    </w:p>
    <w:p w14:paraId="3E072B8C" w14:textId="77777777" w:rsidR="00DF0CD1" w:rsidRPr="00674A30" w:rsidRDefault="00DF0CD1" w:rsidP="00724290">
      <w:pPr>
        <w:jc w:val="both"/>
        <w:rPr>
          <w:rFonts w:hint="eastAsia"/>
          <w:i/>
          <w:sz w:val="28"/>
          <w:szCs w:val="28"/>
        </w:rPr>
      </w:pPr>
      <w:r>
        <w:rPr>
          <w:i/>
          <w:sz w:val="28"/>
          <w:szCs w:val="28"/>
        </w:rPr>
        <w:tab/>
        <w:t xml:space="preserve">El alumbrado público en tecnología LED para la ciudad cuesta 25 </w:t>
      </w:r>
      <w:r w:rsidR="00E24788">
        <w:rPr>
          <w:i/>
          <w:sz w:val="28"/>
          <w:szCs w:val="28"/>
        </w:rPr>
        <w:t>millones</w:t>
      </w:r>
      <w:r w:rsidR="00E24788" w:rsidRPr="00674A30">
        <w:rPr>
          <w:i/>
          <w:sz w:val="28"/>
          <w:szCs w:val="28"/>
        </w:rPr>
        <w:t xml:space="preserve"> </w:t>
      </w:r>
      <w:r>
        <w:rPr>
          <w:i/>
          <w:sz w:val="28"/>
          <w:szCs w:val="28"/>
        </w:rPr>
        <w:t xml:space="preserve">de dólares. Las obras </w:t>
      </w:r>
      <w:r w:rsidRPr="00674A30">
        <w:rPr>
          <w:i/>
          <w:sz w:val="28"/>
          <w:szCs w:val="28"/>
        </w:rPr>
        <w:t>hídr</w:t>
      </w:r>
      <w:r w:rsidR="00E24788">
        <w:rPr>
          <w:i/>
          <w:sz w:val="28"/>
          <w:szCs w:val="28"/>
        </w:rPr>
        <w:t>icas estructurales cuestan 100 millones</w:t>
      </w:r>
      <w:r w:rsidRPr="00674A30">
        <w:rPr>
          <w:i/>
          <w:sz w:val="28"/>
          <w:szCs w:val="28"/>
        </w:rPr>
        <w:t xml:space="preserve"> de dólares. El pavimento urbano básico exige </w:t>
      </w:r>
      <w:r w:rsidR="004B5DEC" w:rsidRPr="00674A30">
        <w:rPr>
          <w:i/>
          <w:sz w:val="28"/>
          <w:szCs w:val="28"/>
        </w:rPr>
        <w:t xml:space="preserve">una inversión de </w:t>
      </w:r>
      <w:r w:rsidRPr="00674A30">
        <w:rPr>
          <w:i/>
          <w:sz w:val="28"/>
          <w:szCs w:val="28"/>
        </w:rPr>
        <w:t xml:space="preserve">400 </w:t>
      </w:r>
      <w:r w:rsidR="00E24788">
        <w:rPr>
          <w:i/>
          <w:sz w:val="28"/>
          <w:szCs w:val="28"/>
        </w:rPr>
        <w:t>millones</w:t>
      </w:r>
      <w:r w:rsidR="00E24788" w:rsidRPr="00674A30">
        <w:rPr>
          <w:i/>
          <w:sz w:val="28"/>
          <w:szCs w:val="28"/>
        </w:rPr>
        <w:t xml:space="preserve"> </w:t>
      </w:r>
      <w:r w:rsidRPr="00674A30">
        <w:rPr>
          <w:i/>
          <w:sz w:val="28"/>
          <w:szCs w:val="28"/>
        </w:rPr>
        <w:t xml:space="preserve">de dólares. Un programa completo con espacios públicos, regularización de dominio y ordenamiento territorial cuesta 800 </w:t>
      </w:r>
      <w:r w:rsidR="00E24788">
        <w:rPr>
          <w:i/>
          <w:sz w:val="28"/>
          <w:szCs w:val="28"/>
        </w:rPr>
        <w:t>millones</w:t>
      </w:r>
      <w:r w:rsidR="00E24788" w:rsidRPr="00674A30">
        <w:rPr>
          <w:i/>
          <w:sz w:val="28"/>
          <w:szCs w:val="28"/>
        </w:rPr>
        <w:t xml:space="preserve"> </w:t>
      </w:r>
      <w:r w:rsidRPr="00674A30">
        <w:rPr>
          <w:i/>
          <w:sz w:val="28"/>
          <w:szCs w:val="28"/>
        </w:rPr>
        <w:t>de dólares.</w:t>
      </w:r>
    </w:p>
    <w:p w14:paraId="341E763F" w14:textId="77777777" w:rsidR="00CB5A8E" w:rsidRPr="00674A30" w:rsidRDefault="00DF0CD1" w:rsidP="00724290">
      <w:pPr>
        <w:jc w:val="both"/>
        <w:rPr>
          <w:rFonts w:hint="eastAsia"/>
          <w:i/>
          <w:sz w:val="28"/>
          <w:szCs w:val="28"/>
        </w:rPr>
      </w:pPr>
      <w:r w:rsidRPr="00674A30">
        <w:rPr>
          <w:i/>
          <w:sz w:val="28"/>
          <w:szCs w:val="28"/>
        </w:rPr>
        <w:tab/>
        <w:t xml:space="preserve">Esta es la verdad más estricta. La ciudad de Resistencia es la capital de las provincias del país </w:t>
      </w:r>
      <w:r w:rsidR="004B5DEC" w:rsidRPr="00674A30">
        <w:rPr>
          <w:i/>
          <w:sz w:val="28"/>
          <w:szCs w:val="28"/>
        </w:rPr>
        <w:t xml:space="preserve">con </w:t>
      </w:r>
      <w:r w:rsidRPr="00674A30">
        <w:rPr>
          <w:i/>
          <w:sz w:val="28"/>
          <w:szCs w:val="28"/>
        </w:rPr>
        <w:t xml:space="preserve">menor </w:t>
      </w:r>
      <w:r w:rsidR="004B5DEC" w:rsidRPr="00674A30">
        <w:rPr>
          <w:i/>
          <w:sz w:val="28"/>
          <w:szCs w:val="28"/>
        </w:rPr>
        <w:t xml:space="preserve">proporción de </w:t>
      </w:r>
      <w:r w:rsidRPr="00674A30">
        <w:rPr>
          <w:i/>
          <w:sz w:val="28"/>
          <w:szCs w:val="28"/>
        </w:rPr>
        <w:t xml:space="preserve">pavimento urbano de todas las capitales </w:t>
      </w:r>
      <w:r w:rsidR="004B5DEC" w:rsidRPr="00674A30">
        <w:rPr>
          <w:i/>
          <w:sz w:val="28"/>
          <w:szCs w:val="28"/>
        </w:rPr>
        <w:t xml:space="preserve">del país </w:t>
      </w:r>
      <w:r w:rsidRPr="00674A30">
        <w:rPr>
          <w:i/>
          <w:sz w:val="28"/>
          <w:szCs w:val="28"/>
        </w:rPr>
        <w:t xml:space="preserve">y por favor no le echemos la culpa a “70 años de peronismo”, pues nuestro movimiento gobernó 6 de los 32 años anteriores a mi gestión y </w:t>
      </w:r>
      <w:r w:rsidR="00CB5A8E" w:rsidRPr="00674A30">
        <w:rPr>
          <w:i/>
          <w:sz w:val="28"/>
          <w:szCs w:val="28"/>
        </w:rPr>
        <w:t>20 años de 141 años desde su fundación.</w:t>
      </w:r>
    </w:p>
    <w:p w14:paraId="0FAB274E" w14:textId="77777777" w:rsidR="00CB5A8E" w:rsidRPr="00674A30" w:rsidRDefault="00CB5A8E" w:rsidP="00724290">
      <w:pPr>
        <w:jc w:val="both"/>
        <w:rPr>
          <w:rFonts w:hint="eastAsia"/>
          <w:i/>
          <w:sz w:val="28"/>
          <w:szCs w:val="28"/>
        </w:rPr>
      </w:pPr>
      <w:r w:rsidRPr="00674A30">
        <w:rPr>
          <w:i/>
          <w:sz w:val="28"/>
          <w:szCs w:val="28"/>
        </w:rPr>
        <w:tab/>
        <w:t xml:space="preserve">Durante mi gestión como Gobernador de la provincia ejecutamos obras hídricas en el marco del Programa de Prevención contra Inundaciones por un monto equivalente a 50 </w:t>
      </w:r>
      <w:r w:rsidR="00E24788">
        <w:rPr>
          <w:i/>
          <w:sz w:val="28"/>
          <w:szCs w:val="28"/>
        </w:rPr>
        <w:t>millones</w:t>
      </w:r>
      <w:r w:rsidR="00E24788" w:rsidRPr="00674A30">
        <w:rPr>
          <w:i/>
          <w:sz w:val="28"/>
          <w:szCs w:val="28"/>
        </w:rPr>
        <w:t xml:space="preserve"> </w:t>
      </w:r>
      <w:r w:rsidRPr="00674A30">
        <w:rPr>
          <w:i/>
          <w:sz w:val="28"/>
          <w:szCs w:val="28"/>
        </w:rPr>
        <w:t>de dólares</w:t>
      </w:r>
      <w:r w:rsidR="004B5DEC" w:rsidRPr="00674A30">
        <w:rPr>
          <w:i/>
          <w:sz w:val="28"/>
          <w:szCs w:val="28"/>
        </w:rPr>
        <w:t>,</w:t>
      </w:r>
      <w:r w:rsidRPr="00674A30">
        <w:rPr>
          <w:i/>
          <w:sz w:val="28"/>
          <w:szCs w:val="28"/>
        </w:rPr>
        <w:t xml:space="preserve"> en el marco de un programa que este año cumple 27 años de financiamiento con 250 </w:t>
      </w:r>
      <w:r w:rsidR="00E24788">
        <w:rPr>
          <w:i/>
          <w:sz w:val="28"/>
          <w:szCs w:val="28"/>
        </w:rPr>
        <w:t>millones</w:t>
      </w:r>
      <w:r w:rsidR="00E24788" w:rsidRPr="00674A30">
        <w:rPr>
          <w:i/>
          <w:sz w:val="28"/>
          <w:szCs w:val="28"/>
        </w:rPr>
        <w:t xml:space="preserve"> </w:t>
      </w:r>
      <w:r w:rsidRPr="00674A30">
        <w:rPr>
          <w:i/>
          <w:sz w:val="28"/>
          <w:szCs w:val="28"/>
        </w:rPr>
        <w:t>de dólares de inversión.</w:t>
      </w:r>
    </w:p>
    <w:p w14:paraId="340F9BB3" w14:textId="77777777" w:rsidR="00CB5A8E" w:rsidRPr="006F7CC9" w:rsidRDefault="00CB5A8E" w:rsidP="00117A57">
      <w:pPr>
        <w:jc w:val="both"/>
        <w:rPr>
          <w:rFonts w:hint="eastAsia"/>
          <w:i/>
          <w:sz w:val="28"/>
          <w:szCs w:val="28"/>
        </w:rPr>
      </w:pPr>
      <w:r w:rsidRPr="00674A30">
        <w:rPr>
          <w:i/>
          <w:sz w:val="28"/>
          <w:szCs w:val="28"/>
        </w:rPr>
        <w:tab/>
        <w:t xml:space="preserve">No es cierto que hubo improvisación. Nosotros ejecutamos la obra de “Los Hacheros”, </w:t>
      </w:r>
      <w:r w:rsidRPr="006F7CC9">
        <w:rPr>
          <w:i/>
          <w:sz w:val="28"/>
          <w:szCs w:val="28"/>
        </w:rPr>
        <w:t>Clayton en Barranqueras, las estaciones de bombeo de Villa Prosperidad y Avalos</w:t>
      </w:r>
      <w:r w:rsidR="004B5DEC" w:rsidRPr="006F7CC9">
        <w:rPr>
          <w:i/>
          <w:sz w:val="28"/>
          <w:szCs w:val="28"/>
        </w:rPr>
        <w:t>,</w:t>
      </w:r>
      <w:r w:rsidRPr="006F7CC9">
        <w:rPr>
          <w:i/>
          <w:sz w:val="28"/>
          <w:szCs w:val="28"/>
        </w:rPr>
        <w:t xml:space="preserve"> conjuntamente con Soberanía Nacional.</w:t>
      </w:r>
    </w:p>
    <w:p w14:paraId="55D4FCFD" w14:textId="77777777" w:rsidR="00CB5A8E" w:rsidRPr="006F7CC9" w:rsidRDefault="00CB5A8E" w:rsidP="00117A57">
      <w:pPr>
        <w:jc w:val="both"/>
        <w:rPr>
          <w:rFonts w:hint="eastAsia"/>
          <w:i/>
          <w:sz w:val="28"/>
          <w:szCs w:val="28"/>
        </w:rPr>
      </w:pPr>
      <w:r w:rsidRPr="006F7CC9">
        <w:rPr>
          <w:i/>
          <w:sz w:val="28"/>
          <w:szCs w:val="28"/>
        </w:rPr>
        <w:lastRenderedPageBreak/>
        <w:tab/>
        <w:t xml:space="preserve">El proyecto de </w:t>
      </w:r>
      <w:r w:rsidR="004B5DEC" w:rsidRPr="006F7CC9">
        <w:rPr>
          <w:i/>
          <w:sz w:val="28"/>
          <w:szCs w:val="28"/>
        </w:rPr>
        <w:t>C</w:t>
      </w:r>
      <w:r w:rsidRPr="006F7CC9">
        <w:rPr>
          <w:i/>
          <w:sz w:val="28"/>
          <w:szCs w:val="28"/>
        </w:rPr>
        <w:t>anal 16 se hizo durante nuestra gestión, se licitó durante la gestión del gobernador Peppo y lleva un 8% de ejecución.</w:t>
      </w:r>
    </w:p>
    <w:p w14:paraId="66FA6361" w14:textId="77777777" w:rsidR="00CB5A8E" w:rsidRPr="00674A30" w:rsidRDefault="00CB5A8E" w:rsidP="00117A57">
      <w:pPr>
        <w:jc w:val="both"/>
        <w:rPr>
          <w:rFonts w:hint="eastAsia"/>
          <w:i/>
          <w:sz w:val="28"/>
          <w:szCs w:val="28"/>
        </w:rPr>
      </w:pPr>
      <w:r w:rsidRPr="006F7CC9">
        <w:rPr>
          <w:i/>
          <w:sz w:val="28"/>
          <w:szCs w:val="28"/>
        </w:rPr>
        <w:tab/>
        <w:t xml:space="preserve">La autovía de la ruta 11 se inició en el segundo semestre de 2013 y en estos 3 años de Macri muestra </w:t>
      </w:r>
      <w:r w:rsidRPr="00674A30">
        <w:rPr>
          <w:i/>
          <w:sz w:val="28"/>
          <w:szCs w:val="28"/>
        </w:rPr>
        <w:t>pocos avances. Esta obra es hídrica y vial con alto impacto en la zona oeste y sur de la ciudad.</w:t>
      </w:r>
    </w:p>
    <w:p w14:paraId="2EC3688A" w14:textId="77777777" w:rsidR="00CB5A8E" w:rsidRPr="00674A30" w:rsidRDefault="0080587B" w:rsidP="00117A57">
      <w:pPr>
        <w:jc w:val="both"/>
        <w:rPr>
          <w:rFonts w:hint="eastAsia"/>
          <w:i/>
          <w:sz w:val="28"/>
          <w:szCs w:val="28"/>
        </w:rPr>
      </w:pPr>
      <w:r w:rsidRPr="00674A30">
        <w:rPr>
          <w:i/>
          <w:sz w:val="28"/>
          <w:szCs w:val="28"/>
        </w:rPr>
        <w:tab/>
        <w:t>En el año 2016</w:t>
      </w:r>
      <w:r w:rsidR="00CB5A8E" w:rsidRPr="00674A30">
        <w:rPr>
          <w:i/>
          <w:sz w:val="28"/>
          <w:szCs w:val="28"/>
        </w:rPr>
        <w:t xml:space="preserve"> convocamos una consulta ciudadana para explicar los alcances de un </w:t>
      </w:r>
      <w:r w:rsidRPr="00674A30">
        <w:rPr>
          <w:i/>
          <w:sz w:val="28"/>
          <w:szCs w:val="28"/>
        </w:rPr>
        <w:t>Plan de Saneamiento Hídrico, programa que se centra</w:t>
      </w:r>
      <w:r w:rsidR="00B86C09" w:rsidRPr="00674A30">
        <w:rPr>
          <w:i/>
          <w:sz w:val="28"/>
          <w:szCs w:val="28"/>
        </w:rPr>
        <w:t>ba</w:t>
      </w:r>
      <w:r w:rsidRPr="00674A30">
        <w:rPr>
          <w:i/>
          <w:sz w:val="28"/>
          <w:szCs w:val="28"/>
        </w:rPr>
        <w:t xml:space="preserve"> en cinco grandes líneas de acción: zanjeo y entubado, mantenimiento de la red de desagües existentes, limpieza de canales, limpieza de lagunas y obras nuev</w:t>
      </w:r>
      <w:r w:rsidR="00B86C09" w:rsidRPr="00674A30">
        <w:rPr>
          <w:i/>
          <w:sz w:val="28"/>
          <w:szCs w:val="28"/>
        </w:rPr>
        <w:t>as de red de desagües pluviales</w:t>
      </w:r>
      <w:r w:rsidR="00CB5A8E" w:rsidRPr="00674A30">
        <w:rPr>
          <w:i/>
          <w:sz w:val="28"/>
          <w:szCs w:val="28"/>
        </w:rPr>
        <w:t>. No asistieron todos los concejales y concurrieron pocos vecinos.</w:t>
      </w:r>
    </w:p>
    <w:p w14:paraId="198E49FB" w14:textId="77777777" w:rsidR="005A0689" w:rsidRPr="00FB3C04" w:rsidRDefault="000355D6" w:rsidP="00117A57">
      <w:pPr>
        <w:jc w:val="both"/>
        <w:rPr>
          <w:rFonts w:hint="eastAsia"/>
          <w:i/>
          <w:color w:val="FF0000"/>
          <w:sz w:val="28"/>
          <w:szCs w:val="28"/>
        </w:rPr>
      </w:pPr>
      <w:r w:rsidRPr="00674A30">
        <w:rPr>
          <w:i/>
          <w:sz w:val="28"/>
          <w:szCs w:val="28"/>
        </w:rPr>
        <w:t xml:space="preserve">En esta presentación </w:t>
      </w:r>
      <w:r w:rsidR="00BE23F1" w:rsidRPr="00674A30">
        <w:rPr>
          <w:i/>
          <w:sz w:val="28"/>
          <w:szCs w:val="28"/>
        </w:rPr>
        <w:t xml:space="preserve">pública </w:t>
      </w:r>
      <w:r w:rsidRPr="00674A30">
        <w:rPr>
          <w:i/>
          <w:sz w:val="28"/>
          <w:szCs w:val="28"/>
        </w:rPr>
        <w:t xml:space="preserve">se </w:t>
      </w:r>
      <w:r w:rsidR="00A25C23" w:rsidRPr="00674A30">
        <w:rPr>
          <w:i/>
          <w:sz w:val="28"/>
          <w:szCs w:val="28"/>
        </w:rPr>
        <w:t>proyect</w:t>
      </w:r>
      <w:r w:rsidR="00BE23F1" w:rsidRPr="00674A30">
        <w:rPr>
          <w:i/>
          <w:sz w:val="28"/>
          <w:szCs w:val="28"/>
        </w:rPr>
        <w:t>aron</w:t>
      </w:r>
      <w:r w:rsidR="00A25C23" w:rsidRPr="00674A30">
        <w:rPr>
          <w:i/>
          <w:sz w:val="28"/>
          <w:szCs w:val="28"/>
        </w:rPr>
        <w:t xml:space="preserve"> los desagües pluviales </w:t>
      </w:r>
      <w:r w:rsidR="00DF4176" w:rsidRPr="00674A30">
        <w:rPr>
          <w:i/>
          <w:sz w:val="28"/>
          <w:szCs w:val="28"/>
        </w:rPr>
        <w:t xml:space="preserve">de las </w:t>
      </w:r>
      <w:r w:rsidR="00A25C23" w:rsidRPr="00674A30">
        <w:rPr>
          <w:i/>
          <w:sz w:val="28"/>
          <w:szCs w:val="28"/>
        </w:rPr>
        <w:t>Avenida</w:t>
      </w:r>
      <w:r w:rsidR="00DF4176" w:rsidRPr="00674A30">
        <w:rPr>
          <w:i/>
          <w:sz w:val="28"/>
          <w:szCs w:val="28"/>
        </w:rPr>
        <w:t>s</w:t>
      </w:r>
      <w:r w:rsidR="00A25C23" w:rsidRPr="00674A30">
        <w:rPr>
          <w:i/>
          <w:sz w:val="28"/>
          <w:szCs w:val="28"/>
        </w:rPr>
        <w:t xml:space="preserve"> </w:t>
      </w:r>
      <w:r w:rsidR="00FB3C04" w:rsidRPr="00674A30">
        <w:rPr>
          <w:i/>
          <w:sz w:val="28"/>
          <w:szCs w:val="28"/>
        </w:rPr>
        <w:t xml:space="preserve">Paraguay, Vélez Sarsfield, </w:t>
      </w:r>
      <w:r w:rsidR="00DF4176" w:rsidRPr="00674A30">
        <w:rPr>
          <w:i/>
          <w:sz w:val="28"/>
          <w:szCs w:val="28"/>
        </w:rPr>
        <w:t>Wilde,</w:t>
      </w:r>
      <w:r w:rsidR="00A25C23" w:rsidRPr="00674A30">
        <w:rPr>
          <w:i/>
          <w:sz w:val="28"/>
          <w:szCs w:val="28"/>
        </w:rPr>
        <w:t xml:space="preserve"> </w:t>
      </w:r>
      <w:r w:rsidR="00DF4176" w:rsidRPr="00674A30">
        <w:rPr>
          <w:i/>
          <w:sz w:val="28"/>
          <w:szCs w:val="28"/>
        </w:rPr>
        <w:t xml:space="preserve">Ávalos y </w:t>
      </w:r>
      <w:r w:rsidR="00A25C23" w:rsidRPr="00674A30">
        <w:rPr>
          <w:i/>
          <w:sz w:val="28"/>
          <w:szCs w:val="28"/>
        </w:rPr>
        <w:t>Hernandarias</w:t>
      </w:r>
      <w:r w:rsidR="00DF4176" w:rsidRPr="00674A30">
        <w:rPr>
          <w:i/>
          <w:sz w:val="28"/>
          <w:szCs w:val="28"/>
        </w:rPr>
        <w:t>; de la calle Duvivier (Zona Sur),</w:t>
      </w:r>
      <w:r w:rsidR="00A25C23" w:rsidRPr="00674A30">
        <w:rPr>
          <w:i/>
          <w:sz w:val="28"/>
          <w:szCs w:val="28"/>
        </w:rPr>
        <w:t xml:space="preserve"> </w:t>
      </w:r>
      <w:r w:rsidR="0051665E" w:rsidRPr="00674A30">
        <w:rPr>
          <w:i/>
          <w:sz w:val="28"/>
          <w:szCs w:val="28"/>
        </w:rPr>
        <w:t xml:space="preserve">Avenida </w:t>
      </w:r>
      <w:r w:rsidR="0051665E" w:rsidRPr="00A25C23">
        <w:rPr>
          <w:i/>
          <w:sz w:val="28"/>
          <w:szCs w:val="28"/>
        </w:rPr>
        <w:t xml:space="preserve">Arribalzaga </w:t>
      </w:r>
      <w:r w:rsidR="0051665E">
        <w:rPr>
          <w:i/>
          <w:sz w:val="28"/>
          <w:szCs w:val="28"/>
        </w:rPr>
        <w:t xml:space="preserve">(Zona Sur), </w:t>
      </w:r>
      <w:r w:rsidR="00BE23F1" w:rsidRPr="00A25C23">
        <w:rPr>
          <w:i/>
          <w:sz w:val="28"/>
          <w:szCs w:val="28"/>
        </w:rPr>
        <w:t>desagües pluviales</w:t>
      </w:r>
      <w:r w:rsidR="00BE23F1">
        <w:rPr>
          <w:i/>
          <w:sz w:val="28"/>
          <w:szCs w:val="28"/>
        </w:rPr>
        <w:t xml:space="preserve"> </w:t>
      </w:r>
      <w:r w:rsidR="0051665E">
        <w:rPr>
          <w:i/>
          <w:sz w:val="28"/>
          <w:szCs w:val="28"/>
        </w:rPr>
        <w:t>de la</w:t>
      </w:r>
      <w:r w:rsidR="0051665E" w:rsidRPr="00A25C23">
        <w:rPr>
          <w:i/>
          <w:sz w:val="28"/>
          <w:szCs w:val="28"/>
        </w:rPr>
        <w:t xml:space="preserve"> Zona Norte</w:t>
      </w:r>
      <w:r w:rsidR="0051665E">
        <w:rPr>
          <w:i/>
          <w:sz w:val="28"/>
          <w:szCs w:val="28"/>
        </w:rPr>
        <w:t xml:space="preserve">, </w:t>
      </w:r>
      <w:r w:rsidR="00BE23F1" w:rsidRPr="00A25C23">
        <w:rPr>
          <w:i/>
          <w:sz w:val="28"/>
          <w:szCs w:val="28"/>
        </w:rPr>
        <w:t xml:space="preserve">pavimento </w:t>
      </w:r>
      <w:r w:rsidR="0051665E" w:rsidRPr="00A25C23">
        <w:rPr>
          <w:i/>
          <w:sz w:val="28"/>
          <w:szCs w:val="28"/>
        </w:rPr>
        <w:t xml:space="preserve">y </w:t>
      </w:r>
      <w:r w:rsidR="00BE23F1" w:rsidRPr="00A25C23">
        <w:rPr>
          <w:i/>
          <w:sz w:val="28"/>
          <w:szCs w:val="28"/>
        </w:rPr>
        <w:t xml:space="preserve">desagües pluviales </w:t>
      </w:r>
      <w:r w:rsidR="00BE23F1">
        <w:rPr>
          <w:i/>
          <w:sz w:val="28"/>
          <w:szCs w:val="28"/>
        </w:rPr>
        <w:t xml:space="preserve">de la </w:t>
      </w:r>
      <w:r w:rsidR="0051665E" w:rsidRPr="00A25C23">
        <w:rPr>
          <w:i/>
          <w:sz w:val="28"/>
          <w:szCs w:val="28"/>
        </w:rPr>
        <w:t>Avenida Alb</w:t>
      </w:r>
      <w:r w:rsidR="0051665E">
        <w:rPr>
          <w:i/>
          <w:sz w:val="28"/>
          <w:szCs w:val="28"/>
        </w:rPr>
        <w:t xml:space="preserve">erdi (Zona Sur), </w:t>
      </w:r>
      <w:r w:rsidR="00BE23F1">
        <w:rPr>
          <w:i/>
          <w:sz w:val="28"/>
          <w:szCs w:val="28"/>
        </w:rPr>
        <w:t xml:space="preserve">y </w:t>
      </w:r>
      <w:r w:rsidR="00BE23F1" w:rsidRPr="00A25C23">
        <w:rPr>
          <w:i/>
          <w:sz w:val="28"/>
          <w:szCs w:val="28"/>
        </w:rPr>
        <w:t xml:space="preserve">pavimento </w:t>
      </w:r>
      <w:r w:rsidR="0051665E" w:rsidRPr="00A25C23">
        <w:rPr>
          <w:i/>
          <w:sz w:val="28"/>
          <w:szCs w:val="28"/>
        </w:rPr>
        <w:t xml:space="preserve">y </w:t>
      </w:r>
      <w:r w:rsidR="00BE23F1" w:rsidRPr="00A25C23">
        <w:rPr>
          <w:i/>
          <w:sz w:val="28"/>
          <w:szCs w:val="28"/>
        </w:rPr>
        <w:t xml:space="preserve">desagües pluviales </w:t>
      </w:r>
      <w:r w:rsidR="00BE23F1">
        <w:rPr>
          <w:i/>
          <w:sz w:val="28"/>
          <w:szCs w:val="28"/>
        </w:rPr>
        <w:t xml:space="preserve">de la </w:t>
      </w:r>
      <w:r w:rsidR="0051665E" w:rsidRPr="00A25C23">
        <w:rPr>
          <w:i/>
          <w:sz w:val="28"/>
          <w:szCs w:val="28"/>
        </w:rPr>
        <w:t xml:space="preserve">Avenida San Martín </w:t>
      </w:r>
      <w:r w:rsidR="00BE23F1">
        <w:rPr>
          <w:i/>
          <w:sz w:val="28"/>
          <w:szCs w:val="28"/>
        </w:rPr>
        <w:t>(Zona Sur).</w:t>
      </w:r>
    </w:p>
    <w:p w14:paraId="02B8DF7B" w14:textId="77777777" w:rsidR="00B235F4" w:rsidRDefault="00B235F4" w:rsidP="00117A57">
      <w:pPr>
        <w:ind w:firstLine="709"/>
        <w:jc w:val="both"/>
        <w:rPr>
          <w:rFonts w:hint="eastAsia"/>
          <w:i/>
          <w:sz w:val="28"/>
          <w:szCs w:val="28"/>
        </w:rPr>
      </w:pPr>
      <w:r>
        <w:rPr>
          <w:i/>
          <w:sz w:val="28"/>
          <w:szCs w:val="28"/>
        </w:rPr>
        <w:t xml:space="preserve">Aún sin el acompañamiento </w:t>
      </w:r>
      <w:r w:rsidR="00E13773">
        <w:rPr>
          <w:i/>
          <w:sz w:val="28"/>
          <w:szCs w:val="28"/>
        </w:rPr>
        <w:t xml:space="preserve">financiero </w:t>
      </w:r>
      <w:r>
        <w:rPr>
          <w:i/>
          <w:sz w:val="28"/>
          <w:szCs w:val="28"/>
        </w:rPr>
        <w:t xml:space="preserve">en estas obras </w:t>
      </w:r>
      <w:r w:rsidR="00326F69">
        <w:rPr>
          <w:i/>
          <w:sz w:val="28"/>
          <w:szCs w:val="28"/>
        </w:rPr>
        <w:t>estructurales</w:t>
      </w:r>
      <w:r w:rsidR="004973EF" w:rsidRPr="004973EF">
        <w:rPr>
          <w:i/>
          <w:sz w:val="28"/>
          <w:szCs w:val="28"/>
        </w:rPr>
        <w:t xml:space="preserve"> </w:t>
      </w:r>
      <w:r w:rsidR="004973EF">
        <w:rPr>
          <w:i/>
          <w:sz w:val="28"/>
          <w:szCs w:val="28"/>
        </w:rPr>
        <w:t xml:space="preserve">y con recursos </w:t>
      </w:r>
      <w:r w:rsidR="00E13773">
        <w:rPr>
          <w:i/>
          <w:sz w:val="28"/>
          <w:szCs w:val="28"/>
        </w:rPr>
        <w:t>de todos los vecinos de la ciudad</w:t>
      </w:r>
      <w:r>
        <w:rPr>
          <w:i/>
          <w:sz w:val="28"/>
          <w:szCs w:val="28"/>
        </w:rPr>
        <w:t>, desde el comienz</w:t>
      </w:r>
      <w:r w:rsidR="004973EF">
        <w:rPr>
          <w:i/>
          <w:sz w:val="28"/>
          <w:szCs w:val="28"/>
        </w:rPr>
        <w:t>o de la gestión hemos incrementado en un tercio la cantidad de kilómetros de conductos subterráneos de desagües</w:t>
      </w:r>
      <w:r w:rsidR="00E13773">
        <w:rPr>
          <w:i/>
          <w:sz w:val="28"/>
          <w:szCs w:val="28"/>
        </w:rPr>
        <w:t xml:space="preserve">. </w:t>
      </w:r>
      <w:r w:rsidR="004973EF">
        <w:rPr>
          <w:i/>
          <w:sz w:val="28"/>
          <w:szCs w:val="28"/>
        </w:rPr>
        <w:t xml:space="preserve"> </w:t>
      </w:r>
      <w:r>
        <w:rPr>
          <w:i/>
          <w:sz w:val="28"/>
          <w:szCs w:val="28"/>
        </w:rPr>
        <w:t xml:space="preserve"> </w:t>
      </w:r>
      <w:r w:rsidR="00CB5A8E">
        <w:rPr>
          <w:i/>
          <w:sz w:val="28"/>
          <w:szCs w:val="28"/>
        </w:rPr>
        <w:tab/>
      </w:r>
    </w:p>
    <w:p w14:paraId="09621521" w14:textId="77777777" w:rsidR="00CB5A8E" w:rsidRDefault="00CB5A8E" w:rsidP="00117A57">
      <w:pPr>
        <w:ind w:firstLine="709"/>
        <w:jc w:val="both"/>
        <w:rPr>
          <w:rFonts w:hint="eastAsia"/>
          <w:i/>
          <w:sz w:val="28"/>
          <w:szCs w:val="28"/>
        </w:rPr>
      </w:pPr>
      <w:r>
        <w:rPr>
          <w:i/>
          <w:sz w:val="28"/>
          <w:szCs w:val="28"/>
        </w:rPr>
        <w:t>En el año 2018 reclamamos al gobierno provincial  la ejecución de obras hídricas del centro de la ciudad con contraparte municipal para gestionar ante el gobierno nacional y organismos multilaterales. No tuvimos respuestas.</w:t>
      </w:r>
    </w:p>
    <w:p w14:paraId="12D1433F" w14:textId="77777777" w:rsidR="00CB5A8E" w:rsidRDefault="00CB5A8E" w:rsidP="00117A57">
      <w:pPr>
        <w:jc w:val="both"/>
        <w:rPr>
          <w:rFonts w:hint="eastAsia"/>
          <w:i/>
          <w:sz w:val="28"/>
          <w:szCs w:val="28"/>
        </w:rPr>
      </w:pPr>
      <w:r>
        <w:rPr>
          <w:i/>
          <w:sz w:val="28"/>
          <w:szCs w:val="28"/>
        </w:rPr>
        <w:tab/>
        <w:t>Con la catástrofe climática remitimos notas al Presidente y al titular de Anses. Lo hicimos en soledad. Ninguna institución acompañó el pedido y solamente el Rotary Club a través de Sergio Vallejos se interesó en la medida, La oposición que es oficialismo nacional brilla por su ausencia.</w:t>
      </w:r>
    </w:p>
    <w:p w14:paraId="010D9176" w14:textId="77777777" w:rsidR="000A05FB" w:rsidRDefault="000A05FB" w:rsidP="00117A57">
      <w:pPr>
        <w:jc w:val="both"/>
        <w:rPr>
          <w:rFonts w:hint="eastAsia"/>
          <w:i/>
          <w:sz w:val="28"/>
          <w:szCs w:val="28"/>
        </w:rPr>
      </w:pPr>
      <w:r>
        <w:rPr>
          <w:i/>
          <w:sz w:val="28"/>
          <w:szCs w:val="28"/>
        </w:rPr>
        <w:tab/>
        <w:t>Como nunca me invitan a reuniones institucionales con autoridades nacionales, tampoco puedo exponer la posición en defensa de la ciudad.</w:t>
      </w:r>
    </w:p>
    <w:p w14:paraId="00920E56" w14:textId="77777777" w:rsidR="00CB5A8E" w:rsidRDefault="00CB5A8E" w:rsidP="00117A57">
      <w:pPr>
        <w:jc w:val="both"/>
        <w:rPr>
          <w:rFonts w:hint="eastAsia"/>
          <w:i/>
          <w:sz w:val="28"/>
          <w:szCs w:val="28"/>
        </w:rPr>
      </w:pPr>
      <w:r>
        <w:rPr>
          <w:i/>
          <w:sz w:val="28"/>
          <w:szCs w:val="28"/>
        </w:rPr>
        <w:lastRenderedPageBreak/>
        <w:tab/>
        <w:t>La ciudad creció el doble en ocupación de parcelas urbanas respecto a crecimiento de población y durante el período 2007-2015 entre sector público y privado se construyeron 20</w:t>
      </w:r>
      <w:r w:rsidR="00B42B48">
        <w:rPr>
          <w:i/>
          <w:sz w:val="28"/>
          <w:szCs w:val="28"/>
        </w:rPr>
        <w:t>.</w:t>
      </w:r>
      <w:r>
        <w:rPr>
          <w:i/>
          <w:sz w:val="28"/>
          <w:szCs w:val="28"/>
        </w:rPr>
        <w:t>000 unidades, de los cuales casi 5</w:t>
      </w:r>
      <w:r w:rsidR="00B42B48">
        <w:rPr>
          <w:i/>
          <w:sz w:val="28"/>
          <w:szCs w:val="28"/>
        </w:rPr>
        <w:t>.</w:t>
      </w:r>
      <w:r>
        <w:rPr>
          <w:i/>
          <w:sz w:val="28"/>
          <w:szCs w:val="28"/>
        </w:rPr>
        <w:t>000 fueron departamentos en edificios de altura.</w:t>
      </w:r>
    </w:p>
    <w:p w14:paraId="7E3CA662" w14:textId="77777777" w:rsidR="006F7CC9" w:rsidRDefault="006F7CC9" w:rsidP="001B5239">
      <w:pPr>
        <w:spacing w:after="0"/>
        <w:jc w:val="center"/>
        <w:rPr>
          <w:rFonts w:hint="eastAsia"/>
          <w:i/>
          <w:sz w:val="28"/>
          <w:szCs w:val="28"/>
        </w:rPr>
      </w:pPr>
      <w:r w:rsidRPr="002136E3">
        <w:rPr>
          <w:b/>
          <w:i/>
          <w:sz w:val="28"/>
          <w:szCs w:val="28"/>
        </w:rPr>
        <w:t xml:space="preserve">Gráfico </w:t>
      </w:r>
      <w:r>
        <w:rPr>
          <w:b/>
          <w:i/>
          <w:sz w:val="28"/>
          <w:szCs w:val="28"/>
        </w:rPr>
        <w:t>4</w:t>
      </w:r>
      <w:r w:rsidRPr="002136E3">
        <w:rPr>
          <w:b/>
          <w:i/>
          <w:sz w:val="28"/>
          <w:szCs w:val="28"/>
        </w:rPr>
        <w:t xml:space="preserve">: </w:t>
      </w:r>
      <w:r w:rsidR="005129B2">
        <w:rPr>
          <w:b/>
          <w:i/>
          <w:sz w:val="28"/>
          <w:szCs w:val="28"/>
        </w:rPr>
        <w:t>Evolución y Crecimiento Edilicio, 1955-2018.</w:t>
      </w:r>
    </w:p>
    <w:p w14:paraId="77C806F1" w14:textId="77777777" w:rsidR="003E6190" w:rsidRDefault="00170462" w:rsidP="00AA6F56">
      <w:pPr>
        <w:jc w:val="both"/>
        <w:rPr>
          <w:i/>
          <w:sz w:val="28"/>
          <w:szCs w:val="28"/>
        </w:rPr>
      </w:pPr>
      <w:r>
        <w:rPr>
          <w:noProof/>
          <w:lang w:val="en-US" w:eastAsia="en-US"/>
        </w:rPr>
        <w:drawing>
          <wp:inline distT="0" distB="0" distL="0" distR="0" wp14:anchorId="03497812" wp14:editId="348FF82C">
            <wp:extent cx="5868934" cy="30765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70927" cy="3077620"/>
                    </a:xfrm>
                    <a:prstGeom prst="rect">
                      <a:avLst/>
                    </a:prstGeom>
                  </pic:spPr>
                </pic:pic>
              </a:graphicData>
            </a:graphic>
          </wp:inline>
        </w:drawing>
      </w:r>
      <w:r w:rsidR="00CB5A8E">
        <w:rPr>
          <w:i/>
          <w:sz w:val="28"/>
          <w:szCs w:val="28"/>
        </w:rPr>
        <w:tab/>
      </w:r>
    </w:p>
    <w:p w14:paraId="4FBF32E0" w14:textId="77777777" w:rsidR="00B42B48" w:rsidRPr="00674A30" w:rsidRDefault="00ED44E5" w:rsidP="00AA6F56">
      <w:pPr>
        <w:jc w:val="both"/>
        <w:rPr>
          <w:rFonts w:hint="eastAsia"/>
          <w:i/>
          <w:sz w:val="28"/>
          <w:szCs w:val="28"/>
        </w:rPr>
      </w:pPr>
      <w:bookmarkStart w:id="0" w:name="_GoBack"/>
      <w:bookmarkEnd w:id="0"/>
      <w:r>
        <w:rPr>
          <w:i/>
          <w:sz w:val="28"/>
          <w:szCs w:val="28"/>
        </w:rPr>
        <w:t>Por otra parte, e</w:t>
      </w:r>
      <w:r w:rsidR="00CB5A8E" w:rsidRPr="00674A30">
        <w:rPr>
          <w:i/>
          <w:sz w:val="28"/>
          <w:szCs w:val="28"/>
        </w:rPr>
        <w:t xml:space="preserve">l Municipio posee un </w:t>
      </w:r>
      <w:r w:rsidR="00B42B48" w:rsidRPr="00674A30">
        <w:rPr>
          <w:i/>
          <w:sz w:val="28"/>
          <w:szCs w:val="28"/>
        </w:rPr>
        <w:t xml:space="preserve">protocolo para la gestión y atención de emergencias ocasionadas por eventos hidroclimáticos, con la organización de un centro operativo, la intervención de las distintas áreas municipales y la coordinación con organismo de otros niveles de gobierno, aprobado por Resolución Nº 383/2018. La aplicación de este protocolo nos ha permitido organizar la atención de la emergencia y mitigar el impacto de la </w:t>
      </w:r>
      <w:r w:rsidR="00DB78EA" w:rsidRPr="00674A30">
        <w:rPr>
          <w:i/>
          <w:sz w:val="28"/>
          <w:szCs w:val="28"/>
        </w:rPr>
        <w:t>catástrofe</w:t>
      </w:r>
      <w:r w:rsidR="00B42B48" w:rsidRPr="00674A30">
        <w:rPr>
          <w:i/>
          <w:sz w:val="28"/>
          <w:szCs w:val="28"/>
        </w:rPr>
        <w:t>.</w:t>
      </w:r>
    </w:p>
    <w:p w14:paraId="750FA7CB" w14:textId="77777777" w:rsidR="00CB5A8E" w:rsidRPr="00674A30" w:rsidRDefault="000A05FB" w:rsidP="00AA6F56">
      <w:pPr>
        <w:jc w:val="both"/>
        <w:rPr>
          <w:rFonts w:hint="eastAsia"/>
          <w:i/>
          <w:sz w:val="28"/>
          <w:szCs w:val="28"/>
        </w:rPr>
      </w:pPr>
      <w:r w:rsidRPr="00674A30">
        <w:rPr>
          <w:i/>
          <w:sz w:val="28"/>
          <w:szCs w:val="28"/>
        </w:rPr>
        <w:tab/>
        <w:t>El impacto de esta catástrofe climática implica la presencia de</w:t>
      </w:r>
      <w:r w:rsidR="004019BC" w:rsidRPr="00674A30">
        <w:rPr>
          <w:i/>
          <w:sz w:val="28"/>
          <w:szCs w:val="28"/>
        </w:rPr>
        <w:t xml:space="preserve"> </w:t>
      </w:r>
      <w:r w:rsidRPr="00674A30">
        <w:rPr>
          <w:i/>
          <w:sz w:val="28"/>
          <w:szCs w:val="28"/>
        </w:rPr>
        <w:t>4</w:t>
      </w:r>
      <w:r w:rsidR="00B42B48" w:rsidRPr="00674A30">
        <w:rPr>
          <w:i/>
          <w:sz w:val="28"/>
          <w:szCs w:val="28"/>
        </w:rPr>
        <w:t>.</w:t>
      </w:r>
      <w:r w:rsidRPr="00674A30">
        <w:rPr>
          <w:i/>
          <w:sz w:val="28"/>
          <w:szCs w:val="28"/>
        </w:rPr>
        <w:t xml:space="preserve">789 </w:t>
      </w:r>
      <w:r w:rsidR="00B42B48" w:rsidRPr="00674A30">
        <w:rPr>
          <w:i/>
          <w:sz w:val="28"/>
          <w:szCs w:val="28"/>
        </w:rPr>
        <w:t xml:space="preserve">hogares </w:t>
      </w:r>
      <w:r w:rsidRPr="00674A30">
        <w:rPr>
          <w:i/>
          <w:sz w:val="28"/>
          <w:szCs w:val="28"/>
        </w:rPr>
        <w:t>damnificad</w:t>
      </w:r>
      <w:r w:rsidR="00B42B48" w:rsidRPr="00674A30">
        <w:rPr>
          <w:i/>
          <w:sz w:val="28"/>
          <w:szCs w:val="28"/>
        </w:rPr>
        <w:t>o</w:t>
      </w:r>
      <w:r w:rsidRPr="00674A30">
        <w:rPr>
          <w:i/>
          <w:sz w:val="28"/>
          <w:szCs w:val="28"/>
        </w:rPr>
        <w:t>s</w:t>
      </w:r>
      <w:r w:rsidR="00B42B48" w:rsidRPr="00674A30">
        <w:rPr>
          <w:i/>
          <w:sz w:val="28"/>
          <w:szCs w:val="28"/>
        </w:rPr>
        <w:t>,</w:t>
      </w:r>
      <w:r w:rsidRPr="00674A30">
        <w:rPr>
          <w:i/>
          <w:sz w:val="28"/>
          <w:szCs w:val="28"/>
        </w:rPr>
        <w:t xml:space="preserve"> con una estimación de 20</w:t>
      </w:r>
      <w:r w:rsidR="00B42B48" w:rsidRPr="00674A30">
        <w:rPr>
          <w:i/>
          <w:sz w:val="28"/>
          <w:szCs w:val="28"/>
        </w:rPr>
        <w:t>.</w:t>
      </w:r>
      <w:r w:rsidRPr="00674A30">
        <w:rPr>
          <w:i/>
          <w:sz w:val="28"/>
          <w:szCs w:val="28"/>
        </w:rPr>
        <w:t>000 personas</w:t>
      </w:r>
      <w:r w:rsidR="00B42B48" w:rsidRPr="00674A30">
        <w:rPr>
          <w:i/>
          <w:sz w:val="28"/>
          <w:szCs w:val="28"/>
        </w:rPr>
        <w:t xml:space="preserve"> afectadas</w:t>
      </w:r>
      <w:r w:rsidRPr="00674A30">
        <w:rPr>
          <w:i/>
          <w:sz w:val="28"/>
          <w:szCs w:val="28"/>
        </w:rPr>
        <w:t>, 1</w:t>
      </w:r>
      <w:r w:rsidR="00B42B48" w:rsidRPr="00674A30">
        <w:rPr>
          <w:i/>
          <w:sz w:val="28"/>
          <w:szCs w:val="28"/>
        </w:rPr>
        <w:t>.</w:t>
      </w:r>
      <w:r w:rsidRPr="00674A30">
        <w:rPr>
          <w:i/>
          <w:sz w:val="28"/>
          <w:szCs w:val="28"/>
        </w:rPr>
        <w:t>500 de las cuales fueron evacuadas.</w:t>
      </w:r>
    </w:p>
    <w:p w14:paraId="74A51094" w14:textId="77777777" w:rsidR="004019BC" w:rsidRPr="004E2667" w:rsidRDefault="000A05FB" w:rsidP="00AA6F56">
      <w:pPr>
        <w:jc w:val="both"/>
        <w:rPr>
          <w:rFonts w:hint="eastAsia"/>
          <w:i/>
          <w:sz w:val="28"/>
          <w:szCs w:val="28"/>
        </w:rPr>
      </w:pPr>
      <w:r w:rsidRPr="00674A30">
        <w:rPr>
          <w:i/>
          <w:sz w:val="28"/>
          <w:szCs w:val="28"/>
        </w:rPr>
        <w:tab/>
        <w:t xml:space="preserve">El programa </w:t>
      </w:r>
      <w:r w:rsidR="00DB78EA" w:rsidRPr="004E2667">
        <w:rPr>
          <w:i/>
          <w:sz w:val="28"/>
          <w:szCs w:val="28"/>
        </w:rPr>
        <w:t xml:space="preserve">protocolo de actuación </w:t>
      </w:r>
      <w:r w:rsidRPr="004E2667">
        <w:rPr>
          <w:i/>
          <w:sz w:val="28"/>
          <w:szCs w:val="28"/>
        </w:rPr>
        <w:t>de asistencia ha sido eficaz para atender 3</w:t>
      </w:r>
      <w:r w:rsidR="00DB78EA" w:rsidRPr="004E2667">
        <w:rPr>
          <w:i/>
          <w:sz w:val="28"/>
          <w:szCs w:val="28"/>
        </w:rPr>
        <w:t>.</w:t>
      </w:r>
      <w:r w:rsidRPr="004E2667">
        <w:rPr>
          <w:i/>
          <w:sz w:val="28"/>
          <w:szCs w:val="28"/>
        </w:rPr>
        <w:t>500 reclamos</w:t>
      </w:r>
      <w:r w:rsidR="004019BC" w:rsidRPr="004E2667">
        <w:rPr>
          <w:i/>
          <w:sz w:val="28"/>
          <w:szCs w:val="28"/>
        </w:rPr>
        <w:t xml:space="preserve"> y</w:t>
      </w:r>
      <w:r w:rsidRPr="004E2667">
        <w:rPr>
          <w:i/>
          <w:sz w:val="28"/>
          <w:szCs w:val="28"/>
        </w:rPr>
        <w:t xml:space="preserve"> </w:t>
      </w:r>
      <w:r w:rsidR="004019BC" w:rsidRPr="004E2667">
        <w:rPr>
          <w:i/>
          <w:sz w:val="28"/>
          <w:szCs w:val="28"/>
        </w:rPr>
        <w:t xml:space="preserve">la solución de las siguientes demandas con productos adquiridos por el Municipio y </w:t>
      </w:r>
      <w:r w:rsidR="00A908C3" w:rsidRPr="004E2667">
        <w:rPr>
          <w:i/>
          <w:sz w:val="28"/>
          <w:szCs w:val="28"/>
        </w:rPr>
        <w:t>más</w:t>
      </w:r>
      <w:r w:rsidR="004019BC" w:rsidRPr="004E2667">
        <w:rPr>
          <w:i/>
          <w:sz w:val="28"/>
          <w:szCs w:val="28"/>
        </w:rPr>
        <w:t xml:space="preserve"> de 3</w:t>
      </w:r>
      <w:r w:rsidR="001D5F1E">
        <w:rPr>
          <w:i/>
          <w:sz w:val="28"/>
          <w:szCs w:val="28"/>
        </w:rPr>
        <w:t>.</w:t>
      </w:r>
      <w:r w:rsidR="004019BC" w:rsidRPr="004E2667">
        <w:rPr>
          <w:i/>
          <w:sz w:val="28"/>
          <w:szCs w:val="28"/>
        </w:rPr>
        <w:t>000 elementos recibidos en concepto de donación:</w:t>
      </w:r>
    </w:p>
    <w:p w14:paraId="7B79E517" w14:textId="77777777" w:rsidR="004019BC" w:rsidRPr="004E2667" w:rsidRDefault="004019BC" w:rsidP="004E2667">
      <w:pPr>
        <w:pStyle w:val="ListParagraph"/>
        <w:numPr>
          <w:ilvl w:val="0"/>
          <w:numId w:val="1"/>
        </w:numPr>
        <w:jc w:val="both"/>
        <w:rPr>
          <w:rFonts w:hint="eastAsia"/>
          <w:i/>
          <w:sz w:val="28"/>
          <w:szCs w:val="28"/>
        </w:rPr>
      </w:pPr>
      <w:r w:rsidRPr="004E2667">
        <w:rPr>
          <w:i/>
          <w:sz w:val="28"/>
          <w:szCs w:val="28"/>
        </w:rPr>
        <w:t xml:space="preserve">Módulos Alimentarios que variaban entre 8 y 5 productos compuestos por aceite, harina de trigo, harina de maíz, leche </w:t>
      </w:r>
      <w:r w:rsidRPr="004E2667">
        <w:rPr>
          <w:i/>
          <w:sz w:val="28"/>
          <w:szCs w:val="28"/>
        </w:rPr>
        <w:lastRenderedPageBreak/>
        <w:t>entera, leche descremada, puré de tomate, yerba, azúcar, fideos y polenta</w:t>
      </w:r>
      <w:r w:rsidR="00753FD9" w:rsidRPr="004E2667">
        <w:rPr>
          <w:i/>
          <w:sz w:val="28"/>
          <w:szCs w:val="28"/>
        </w:rPr>
        <w:t xml:space="preserve">. </w:t>
      </w:r>
    </w:p>
    <w:p w14:paraId="0E568FC8" w14:textId="77777777" w:rsidR="004019BC" w:rsidRPr="004E2667" w:rsidRDefault="004019BC" w:rsidP="004E2667">
      <w:pPr>
        <w:pStyle w:val="ListParagraph"/>
        <w:numPr>
          <w:ilvl w:val="0"/>
          <w:numId w:val="1"/>
        </w:numPr>
        <w:jc w:val="both"/>
        <w:rPr>
          <w:rFonts w:hint="eastAsia"/>
          <w:i/>
          <w:sz w:val="28"/>
          <w:szCs w:val="28"/>
        </w:rPr>
      </w:pPr>
      <w:r w:rsidRPr="004E2667">
        <w:rPr>
          <w:i/>
          <w:sz w:val="28"/>
          <w:szCs w:val="28"/>
        </w:rPr>
        <w:t>Elementos de limpieza como Lavandina, Creolina, Ayudín, Procenex, repelente</w:t>
      </w:r>
      <w:r w:rsidR="00753FD9" w:rsidRPr="004E2667">
        <w:rPr>
          <w:i/>
          <w:sz w:val="28"/>
          <w:szCs w:val="28"/>
        </w:rPr>
        <w:t>.</w:t>
      </w:r>
    </w:p>
    <w:p w14:paraId="29D698D7" w14:textId="77777777" w:rsidR="004019BC" w:rsidRPr="004E2667" w:rsidRDefault="004019BC" w:rsidP="004E2667">
      <w:pPr>
        <w:pStyle w:val="ListParagraph"/>
        <w:numPr>
          <w:ilvl w:val="0"/>
          <w:numId w:val="1"/>
        </w:numPr>
        <w:jc w:val="both"/>
        <w:rPr>
          <w:rFonts w:hint="eastAsia"/>
          <w:i/>
          <w:sz w:val="28"/>
          <w:szCs w:val="28"/>
        </w:rPr>
      </w:pPr>
      <w:r w:rsidRPr="004E2667">
        <w:rPr>
          <w:i/>
          <w:sz w:val="28"/>
          <w:szCs w:val="28"/>
        </w:rPr>
        <w:t>Elementos de higiene personal como papel higiénico, pañales, toallas femen</w:t>
      </w:r>
      <w:r w:rsidR="00753FD9" w:rsidRPr="004E2667">
        <w:rPr>
          <w:i/>
          <w:sz w:val="28"/>
          <w:szCs w:val="28"/>
        </w:rPr>
        <w:t>inas, shampoo, jabón de tocador.</w:t>
      </w:r>
    </w:p>
    <w:p w14:paraId="28B237E3" w14:textId="77777777" w:rsidR="004019BC" w:rsidRPr="004E2667" w:rsidRDefault="004019BC" w:rsidP="004E2667">
      <w:pPr>
        <w:pStyle w:val="ListParagraph"/>
        <w:numPr>
          <w:ilvl w:val="0"/>
          <w:numId w:val="1"/>
        </w:numPr>
        <w:jc w:val="both"/>
        <w:rPr>
          <w:rFonts w:hint="eastAsia"/>
          <w:i/>
          <w:sz w:val="28"/>
          <w:szCs w:val="28"/>
        </w:rPr>
      </w:pPr>
      <w:r w:rsidRPr="004E2667">
        <w:rPr>
          <w:i/>
          <w:sz w:val="28"/>
          <w:szCs w:val="28"/>
        </w:rPr>
        <w:t>Ropas, Zapatos y Zapatillas para niños y adultos;</w:t>
      </w:r>
    </w:p>
    <w:p w14:paraId="5816D9C1" w14:textId="77777777" w:rsidR="004019BC" w:rsidRPr="004E2667" w:rsidRDefault="004019BC" w:rsidP="004E2667">
      <w:pPr>
        <w:pStyle w:val="ListParagraph"/>
        <w:numPr>
          <w:ilvl w:val="0"/>
          <w:numId w:val="1"/>
        </w:numPr>
        <w:jc w:val="both"/>
        <w:rPr>
          <w:rFonts w:hint="eastAsia"/>
          <w:i/>
          <w:sz w:val="28"/>
          <w:szCs w:val="28"/>
        </w:rPr>
      </w:pPr>
      <w:r w:rsidRPr="004E2667">
        <w:rPr>
          <w:i/>
          <w:sz w:val="28"/>
          <w:szCs w:val="28"/>
        </w:rPr>
        <w:t xml:space="preserve">Packs y Bidones de Agua; </w:t>
      </w:r>
    </w:p>
    <w:p w14:paraId="7FAC963A" w14:textId="77777777" w:rsidR="004019BC" w:rsidRPr="004E2667" w:rsidRDefault="004019BC" w:rsidP="004E2667">
      <w:pPr>
        <w:pStyle w:val="ListParagraph"/>
        <w:numPr>
          <w:ilvl w:val="0"/>
          <w:numId w:val="1"/>
        </w:numPr>
        <w:jc w:val="both"/>
        <w:rPr>
          <w:rFonts w:hint="eastAsia"/>
          <w:i/>
          <w:sz w:val="28"/>
          <w:szCs w:val="28"/>
        </w:rPr>
      </w:pPr>
      <w:r w:rsidRPr="004E2667">
        <w:rPr>
          <w:i/>
          <w:sz w:val="28"/>
          <w:szCs w:val="28"/>
        </w:rPr>
        <w:t>Colchones, frazadas y Cobertores;</w:t>
      </w:r>
    </w:p>
    <w:p w14:paraId="1B0C3C76" w14:textId="77777777" w:rsidR="004019BC" w:rsidRPr="004E2667" w:rsidRDefault="004019BC" w:rsidP="004E2667">
      <w:pPr>
        <w:pStyle w:val="ListParagraph"/>
        <w:numPr>
          <w:ilvl w:val="0"/>
          <w:numId w:val="1"/>
        </w:numPr>
        <w:jc w:val="both"/>
        <w:rPr>
          <w:rFonts w:hint="eastAsia"/>
          <w:i/>
          <w:sz w:val="28"/>
          <w:szCs w:val="28"/>
        </w:rPr>
      </w:pPr>
      <w:r w:rsidRPr="004E2667">
        <w:rPr>
          <w:i/>
          <w:sz w:val="28"/>
          <w:szCs w:val="28"/>
        </w:rPr>
        <w:t>Bolsas de arena entregadas a familias, sumadas a cerca de 15</w:t>
      </w:r>
      <w:r w:rsidR="0039383A">
        <w:rPr>
          <w:i/>
          <w:sz w:val="28"/>
          <w:szCs w:val="28"/>
        </w:rPr>
        <w:t>.</w:t>
      </w:r>
      <w:r w:rsidRPr="004E2667">
        <w:rPr>
          <w:i/>
          <w:sz w:val="28"/>
          <w:szCs w:val="28"/>
        </w:rPr>
        <w:t>000 bolsas de arena utilizadas por las diferentes áreas de intervención municipal y organizaciones como Dirección de Defensa Civil, Dirección Operativa, Bomberos voluntarios, entre otros.</w:t>
      </w:r>
    </w:p>
    <w:p w14:paraId="3F784B6A" w14:textId="77777777" w:rsidR="000A05FB" w:rsidRDefault="000A05FB" w:rsidP="00AA6F56">
      <w:pPr>
        <w:jc w:val="both"/>
        <w:rPr>
          <w:rFonts w:hint="eastAsia"/>
          <w:i/>
          <w:sz w:val="28"/>
          <w:szCs w:val="28"/>
        </w:rPr>
      </w:pPr>
      <w:r>
        <w:rPr>
          <w:i/>
          <w:sz w:val="28"/>
          <w:szCs w:val="28"/>
        </w:rPr>
        <w:tab/>
      </w:r>
      <w:r w:rsidR="00ED44E5">
        <w:rPr>
          <w:i/>
          <w:sz w:val="28"/>
          <w:szCs w:val="28"/>
        </w:rPr>
        <w:t>Todo ello se complementa con la implementación de l</w:t>
      </w:r>
      <w:r w:rsidRPr="00674A30">
        <w:rPr>
          <w:i/>
          <w:sz w:val="28"/>
          <w:szCs w:val="28"/>
        </w:rPr>
        <w:t xml:space="preserve">os </w:t>
      </w:r>
      <w:r w:rsidR="00DB78EA" w:rsidRPr="00674A30">
        <w:rPr>
          <w:i/>
          <w:sz w:val="28"/>
          <w:szCs w:val="28"/>
        </w:rPr>
        <w:t xml:space="preserve">programas </w:t>
      </w:r>
      <w:r w:rsidRPr="00674A30">
        <w:rPr>
          <w:i/>
          <w:sz w:val="28"/>
          <w:szCs w:val="28"/>
        </w:rPr>
        <w:t xml:space="preserve">municipales de </w:t>
      </w:r>
      <w:r w:rsidR="00340372">
        <w:rPr>
          <w:i/>
          <w:sz w:val="28"/>
          <w:szCs w:val="28"/>
        </w:rPr>
        <w:t>“</w:t>
      </w:r>
      <w:r w:rsidR="00340372" w:rsidRPr="00674A30">
        <w:rPr>
          <w:i/>
          <w:sz w:val="28"/>
          <w:szCs w:val="28"/>
        </w:rPr>
        <w:t xml:space="preserve">Vuelta </w:t>
      </w:r>
      <w:r w:rsidRPr="00674A30">
        <w:rPr>
          <w:i/>
          <w:sz w:val="28"/>
          <w:szCs w:val="28"/>
        </w:rPr>
        <w:t xml:space="preserve">a </w:t>
      </w:r>
      <w:r w:rsidR="00340372" w:rsidRPr="00674A30">
        <w:rPr>
          <w:i/>
          <w:sz w:val="28"/>
          <w:szCs w:val="28"/>
        </w:rPr>
        <w:t>Casa</w:t>
      </w:r>
      <w:r w:rsidR="00340372">
        <w:rPr>
          <w:i/>
          <w:sz w:val="28"/>
          <w:szCs w:val="28"/>
        </w:rPr>
        <w:t>”</w:t>
      </w:r>
      <w:r w:rsidR="00340372" w:rsidRPr="00674A30">
        <w:rPr>
          <w:i/>
          <w:sz w:val="28"/>
          <w:szCs w:val="28"/>
        </w:rPr>
        <w:t xml:space="preserve"> </w:t>
      </w:r>
      <w:r w:rsidRPr="00674A30">
        <w:rPr>
          <w:i/>
          <w:sz w:val="28"/>
          <w:szCs w:val="28"/>
        </w:rPr>
        <w:t xml:space="preserve">(15 </w:t>
      </w:r>
      <w:r w:rsidR="002D5A66">
        <w:rPr>
          <w:i/>
          <w:sz w:val="28"/>
          <w:szCs w:val="28"/>
        </w:rPr>
        <w:t>millones</w:t>
      </w:r>
      <w:r w:rsidR="002D5A66" w:rsidRPr="00674A30">
        <w:rPr>
          <w:i/>
          <w:sz w:val="28"/>
          <w:szCs w:val="28"/>
        </w:rPr>
        <w:t xml:space="preserve"> </w:t>
      </w:r>
      <w:r w:rsidRPr="00674A30">
        <w:rPr>
          <w:i/>
          <w:sz w:val="28"/>
          <w:szCs w:val="28"/>
        </w:rPr>
        <w:t xml:space="preserve">de pesos), </w:t>
      </w:r>
      <w:r w:rsidR="00340372">
        <w:rPr>
          <w:i/>
          <w:sz w:val="28"/>
          <w:szCs w:val="28"/>
        </w:rPr>
        <w:t>“</w:t>
      </w:r>
      <w:r w:rsidR="00340372" w:rsidRPr="00674A30">
        <w:rPr>
          <w:i/>
          <w:sz w:val="28"/>
          <w:szCs w:val="28"/>
        </w:rPr>
        <w:t xml:space="preserve">Reconstrucción </w:t>
      </w:r>
      <w:r w:rsidR="00DB78EA" w:rsidRPr="00674A30">
        <w:rPr>
          <w:i/>
          <w:sz w:val="28"/>
          <w:szCs w:val="28"/>
        </w:rPr>
        <w:t xml:space="preserve">de </w:t>
      </w:r>
      <w:r w:rsidR="00340372" w:rsidRPr="00674A30">
        <w:rPr>
          <w:i/>
          <w:sz w:val="28"/>
          <w:szCs w:val="28"/>
        </w:rPr>
        <w:t>Infraestructura Básica</w:t>
      </w:r>
      <w:r w:rsidR="00340372">
        <w:rPr>
          <w:i/>
          <w:sz w:val="28"/>
          <w:szCs w:val="28"/>
        </w:rPr>
        <w:t>”</w:t>
      </w:r>
      <w:r w:rsidR="00340372" w:rsidRPr="00674A30">
        <w:rPr>
          <w:i/>
          <w:sz w:val="28"/>
          <w:szCs w:val="28"/>
        </w:rPr>
        <w:t xml:space="preserve"> </w:t>
      </w:r>
      <w:r w:rsidR="00DB78EA" w:rsidRPr="00674A30">
        <w:rPr>
          <w:i/>
          <w:sz w:val="28"/>
          <w:szCs w:val="28"/>
        </w:rPr>
        <w:t>(</w:t>
      </w:r>
      <w:r w:rsidRPr="00674A30">
        <w:rPr>
          <w:i/>
          <w:sz w:val="28"/>
          <w:szCs w:val="28"/>
        </w:rPr>
        <w:t xml:space="preserve">150 </w:t>
      </w:r>
      <w:r w:rsidR="002D5A66">
        <w:rPr>
          <w:i/>
          <w:sz w:val="28"/>
          <w:szCs w:val="28"/>
        </w:rPr>
        <w:t>millones</w:t>
      </w:r>
      <w:r w:rsidR="002D5A66" w:rsidRPr="00674A30">
        <w:rPr>
          <w:i/>
          <w:sz w:val="28"/>
          <w:szCs w:val="28"/>
        </w:rPr>
        <w:t xml:space="preserve"> </w:t>
      </w:r>
      <w:r w:rsidRPr="00674A30">
        <w:rPr>
          <w:i/>
          <w:sz w:val="28"/>
          <w:szCs w:val="28"/>
        </w:rPr>
        <w:t>de pesos</w:t>
      </w:r>
      <w:r w:rsidR="00DB78EA" w:rsidRPr="00674A30">
        <w:rPr>
          <w:i/>
          <w:sz w:val="28"/>
          <w:szCs w:val="28"/>
        </w:rPr>
        <w:t>)</w:t>
      </w:r>
      <w:r w:rsidRPr="00674A30">
        <w:rPr>
          <w:i/>
          <w:sz w:val="28"/>
          <w:szCs w:val="28"/>
        </w:rPr>
        <w:t xml:space="preserve"> de inversión y </w:t>
      </w:r>
      <w:r w:rsidR="00340372">
        <w:rPr>
          <w:i/>
          <w:sz w:val="28"/>
          <w:szCs w:val="28"/>
        </w:rPr>
        <w:t>“</w:t>
      </w:r>
      <w:r w:rsidR="00340372" w:rsidRPr="00674A30">
        <w:rPr>
          <w:i/>
          <w:sz w:val="28"/>
          <w:szCs w:val="28"/>
        </w:rPr>
        <w:t xml:space="preserve">Normalización </w:t>
      </w:r>
      <w:r w:rsidRPr="00674A30">
        <w:rPr>
          <w:i/>
          <w:sz w:val="28"/>
          <w:szCs w:val="28"/>
        </w:rPr>
        <w:t xml:space="preserve">de </w:t>
      </w:r>
      <w:r w:rsidR="00340372" w:rsidRPr="00674A30">
        <w:rPr>
          <w:i/>
          <w:sz w:val="28"/>
          <w:szCs w:val="28"/>
        </w:rPr>
        <w:t>Servicios</w:t>
      </w:r>
      <w:r w:rsidR="00340372">
        <w:rPr>
          <w:i/>
          <w:sz w:val="28"/>
          <w:szCs w:val="28"/>
        </w:rPr>
        <w:t>”</w:t>
      </w:r>
      <w:r w:rsidR="00340372" w:rsidRPr="00674A30">
        <w:rPr>
          <w:i/>
          <w:sz w:val="28"/>
          <w:szCs w:val="28"/>
        </w:rPr>
        <w:t xml:space="preserve"> </w:t>
      </w:r>
      <w:r w:rsidR="00DB78EA" w:rsidRPr="00674A30">
        <w:rPr>
          <w:i/>
          <w:sz w:val="28"/>
          <w:szCs w:val="28"/>
        </w:rPr>
        <w:t>(</w:t>
      </w:r>
      <w:r w:rsidRPr="00674A30">
        <w:rPr>
          <w:i/>
          <w:sz w:val="28"/>
          <w:szCs w:val="28"/>
        </w:rPr>
        <w:t xml:space="preserve">35 </w:t>
      </w:r>
      <w:r w:rsidR="002D5A66">
        <w:rPr>
          <w:i/>
          <w:sz w:val="28"/>
          <w:szCs w:val="28"/>
        </w:rPr>
        <w:t>millones</w:t>
      </w:r>
      <w:r w:rsidR="002D5A66" w:rsidRPr="00674A30">
        <w:rPr>
          <w:i/>
          <w:sz w:val="28"/>
          <w:szCs w:val="28"/>
        </w:rPr>
        <w:t xml:space="preserve"> </w:t>
      </w:r>
      <w:r w:rsidRPr="00674A30">
        <w:rPr>
          <w:i/>
          <w:sz w:val="28"/>
          <w:szCs w:val="28"/>
        </w:rPr>
        <w:t>de pesos</w:t>
      </w:r>
      <w:r w:rsidR="00DB78EA" w:rsidRPr="00674A30">
        <w:rPr>
          <w:i/>
          <w:sz w:val="28"/>
          <w:szCs w:val="28"/>
        </w:rPr>
        <w:t>)</w:t>
      </w:r>
      <w:r w:rsidRPr="00674A30">
        <w:rPr>
          <w:i/>
          <w:sz w:val="28"/>
          <w:szCs w:val="28"/>
        </w:rPr>
        <w:t xml:space="preserve"> implica una inversión de 200 </w:t>
      </w:r>
      <w:r w:rsidR="002D5A66">
        <w:rPr>
          <w:i/>
          <w:sz w:val="28"/>
          <w:szCs w:val="28"/>
        </w:rPr>
        <w:t>millones</w:t>
      </w:r>
      <w:r w:rsidR="002D5A66" w:rsidRPr="00674A30">
        <w:rPr>
          <w:i/>
          <w:sz w:val="28"/>
          <w:szCs w:val="28"/>
        </w:rPr>
        <w:t xml:space="preserve"> </w:t>
      </w:r>
      <w:r w:rsidRPr="00674A30">
        <w:rPr>
          <w:i/>
          <w:sz w:val="28"/>
          <w:szCs w:val="28"/>
        </w:rPr>
        <w:t>de pesos</w:t>
      </w:r>
      <w:r w:rsidR="00DB78EA" w:rsidRPr="00674A30">
        <w:rPr>
          <w:i/>
          <w:sz w:val="28"/>
          <w:szCs w:val="28"/>
        </w:rPr>
        <w:t xml:space="preserve"> destinados a mi</w:t>
      </w:r>
      <w:r w:rsidR="00DA3852" w:rsidRPr="00674A30">
        <w:rPr>
          <w:i/>
          <w:sz w:val="28"/>
          <w:szCs w:val="28"/>
        </w:rPr>
        <w:t>tigar los impactos negativos de la catástrofe</w:t>
      </w:r>
      <w:r w:rsidRPr="00674A30">
        <w:rPr>
          <w:i/>
          <w:sz w:val="28"/>
          <w:szCs w:val="28"/>
        </w:rPr>
        <w:t>.</w:t>
      </w:r>
    </w:p>
    <w:p w14:paraId="04F20577" w14:textId="77777777" w:rsidR="00340372" w:rsidRDefault="00A133BB" w:rsidP="00AA6F56">
      <w:pPr>
        <w:ind w:firstLine="709"/>
        <w:jc w:val="both"/>
        <w:rPr>
          <w:rFonts w:hint="eastAsia"/>
          <w:i/>
          <w:sz w:val="28"/>
          <w:szCs w:val="28"/>
        </w:rPr>
      </w:pPr>
      <w:r>
        <w:rPr>
          <w:i/>
          <w:sz w:val="28"/>
          <w:szCs w:val="28"/>
        </w:rPr>
        <w:t>“</w:t>
      </w:r>
      <w:r w:rsidR="00340372">
        <w:rPr>
          <w:i/>
          <w:sz w:val="28"/>
          <w:szCs w:val="28"/>
        </w:rPr>
        <w:t>Vuelta a Casa</w:t>
      </w:r>
      <w:r>
        <w:rPr>
          <w:i/>
          <w:sz w:val="28"/>
          <w:szCs w:val="28"/>
        </w:rPr>
        <w:t>”</w:t>
      </w:r>
      <w:r w:rsidR="00340372">
        <w:rPr>
          <w:i/>
          <w:sz w:val="28"/>
          <w:szCs w:val="28"/>
        </w:rPr>
        <w:t xml:space="preserve"> fue el programa </w:t>
      </w:r>
      <w:r w:rsidR="00B156A7">
        <w:rPr>
          <w:i/>
          <w:sz w:val="28"/>
          <w:szCs w:val="28"/>
        </w:rPr>
        <w:t xml:space="preserve">de una duración </w:t>
      </w:r>
      <w:r>
        <w:rPr>
          <w:i/>
          <w:sz w:val="28"/>
          <w:szCs w:val="28"/>
        </w:rPr>
        <w:t xml:space="preserve">de </w:t>
      </w:r>
      <w:r w:rsidR="00B156A7">
        <w:rPr>
          <w:i/>
          <w:sz w:val="28"/>
          <w:szCs w:val="28"/>
        </w:rPr>
        <w:t>entre 72 y 96 horas que consistía en un proceso de evaluación sanitaria integral de los evacuados</w:t>
      </w:r>
      <w:r w:rsidR="00A34CC2">
        <w:rPr>
          <w:i/>
          <w:sz w:val="28"/>
          <w:szCs w:val="28"/>
        </w:rPr>
        <w:t>;</w:t>
      </w:r>
      <w:r w:rsidR="00B156A7">
        <w:rPr>
          <w:i/>
          <w:sz w:val="28"/>
          <w:szCs w:val="28"/>
        </w:rPr>
        <w:t xml:space="preserve"> entrevistas realizadas por </w:t>
      </w:r>
      <w:r>
        <w:rPr>
          <w:i/>
          <w:sz w:val="28"/>
          <w:szCs w:val="28"/>
        </w:rPr>
        <w:t>profesionales</w:t>
      </w:r>
      <w:r w:rsidR="00B156A7">
        <w:rPr>
          <w:i/>
          <w:sz w:val="28"/>
          <w:szCs w:val="28"/>
        </w:rPr>
        <w:t xml:space="preserve"> </w:t>
      </w:r>
      <w:r>
        <w:rPr>
          <w:i/>
          <w:sz w:val="28"/>
          <w:szCs w:val="28"/>
        </w:rPr>
        <w:t>para conocer el estado de situación socioeconómica de las familias y brindar</w:t>
      </w:r>
      <w:r w:rsidR="00A34CC2">
        <w:rPr>
          <w:i/>
          <w:sz w:val="28"/>
          <w:szCs w:val="28"/>
        </w:rPr>
        <w:t>les a su vez el</w:t>
      </w:r>
      <w:r>
        <w:rPr>
          <w:i/>
          <w:sz w:val="28"/>
          <w:szCs w:val="28"/>
        </w:rPr>
        <w:t xml:space="preserve"> acompañamiento </w:t>
      </w:r>
      <w:r w:rsidR="00A34CC2">
        <w:rPr>
          <w:i/>
          <w:sz w:val="28"/>
          <w:szCs w:val="28"/>
        </w:rPr>
        <w:t xml:space="preserve">para transitar estos difíciles y complejos momentos; </w:t>
      </w:r>
      <w:r w:rsidR="0094274C">
        <w:rPr>
          <w:i/>
          <w:sz w:val="28"/>
          <w:szCs w:val="28"/>
        </w:rPr>
        <w:t xml:space="preserve">y en función de estos trabajos programar </w:t>
      </w:r>
      <w:r w:rsidR="00A34CC2">
        <w:rPr>
          <w:i/>
          <w:sz w:val="28"/>
          <w:szCs w:val="28"/>
        </w:rPr>
        <w:t>la asistencia y atención</w:t>
      </w:r>
      <w:r w:rsidR="0094274C">
        <w:rPr>
          <w:i/>
          <w:sz w:val="28"/>
          <w:szCs w:val="28"/>
        </w:rPr>
        <w:t xml:space="preserve"> necesarios para cada caso en particular.</w:t>
      </w:r>
    </w:p>
    <w:p w14:paraId="53C8658B" w14:textId="77777777" w:rsidR="0094274C" w:rsidRDefault="0094274C" w:rsidP="00AA6F56">
      <w:pPr>
        <w:ind w:firstLine="709"/>
        <w:jc w:val="both"/>
        <w:rPr>
          <w:rFonts w:hint="eastAsia"/>
          <w:i/>
          <w:sz w:val="28"/>
          <w:szCs w:val="28"/>
        </w:rPr>
      </w:pPr>
      <w:r>
        <w:rPr>
          <w:i/>
          <w:sz w:val="28"/>
          <w:szCs w:val="28"/>
        </w:rPr>
        <w:t xml:space="preserve">El </w:t>
      </w:r>
      <w:r w:rsidR="00371470">
        <w:rPr>
          <w:i/>
          <w:sz w:val="28"/>
          <w:szCs w:val="28"/>
        </w:rPr>
        <w:t>operativo</w:t>
      </w:r>
      <w:r>
        <w:rPr>
          <w:i/>
          <w:sz w:val="28"/>
          <w:szCs w:val="28"/>
        </w:rPr>
        <w:t xml:space="preserve"> “Reconstrucción de Infraestructura Básica” actualme</w:t>
      </w:r>
      <w:r w:rsidR="001548C4">
        <w:rPr>
          <w:i/>
          <w:sz w:val="28"/>
          <w:szCs w:val="28"/>
        </w:rPr>
        <w:t>nte se está ejecutando, siendo sus principales</w:t>
      </w:r>
      <w:r w:rsidR="00426225">
        <w:rPr>
          <w:i/>
          <w:sz w:val="28"/>
          <w:szCs w:val="28"/>
        </w:rPr>
        <w:t xml:space="preserve"> ejes de intervención</w:t>
      </w:r>
      <w:r w:rsidR="001548C4">
        <w:rPr>
          <w:i/>
          <w:sz w:val="28"/>
          <w:szCs w:val="28"/>
        </w:rPr>
        <w:t xml:space="preserve"> en las zonas más afectadas la reconstrucción de la red y provisión de tubos</w:t>
      </w:r>
      <w:r w:rsidR="00426225">
        <w:rPr>
          <w:i/>
          <w:sz w:val="28"/>
          <w:szCs w:val="28"/>
        </w:rPr>
        <w:t xml:space="preserve"> y caños de desagües,</w:t>
      </w:r>
      <w:r w:rsidR="001548C4">
        <w:rPr>
          <w:i/>
          <w:sz w:val="28"/>
          <w:szCs w:val="28"/>
        </w:rPr>
        <w:t xml:space="preserve"> reparación de calles y relleno de las mismas y un plan de ripio para reconstruir la red del recorrido del sistema público de transporte de pasajeros.  </w:t>
      </w:r>
    </w:p>
    <w:p w14:paraId="49EC71FE" w14:textId="77777777" w:rsidR="00426225" w:rsidRDefault="00426225" w:rsidP="00AA6F56">
      <w:pPr>
        <w:ind w:firstLine="709"/>
        <w:jc w:val="both"/>
        <w:rPr>
          <w:rFonts w:hint="eastAsia"/>
          <w:i/>
          <w:sz w:val="28"/>
          <w:szCs w:val="28"/>
        </w:rPr>
      </w:pPr>
      <w:r>
        <w:rPr>
          <w:i/>
          <w:sz w:val="28"/>
          <w:szCs w:val="28"/>
        </w:rPr>
        <w:t xml:space="preserve">El tercer </w:t>
      </w:r>
      <w:r w:rsidR="00371470">
        <w:rPr>
          <w:i/>
          <w:sz w:val="28"/>
          <w:szCs w:val="28"/>
        </w:rPr>
        <w:t>programa</w:t>
      </w:r>
      <w:r>
        <w:rPr>
          <w:i/>
          <w:sz w:val="28"/>
          <w:szCs w:val="28"/>
        </w:rPr>
        <w:t xml:space="preserve"> es la “Normalización de Servicios”, </w:t>
      </w:r>
      <w:r w:rsidR="00371470">
        <w:rPr>
          <w:i/>
          <w:sz w:val="28"/>
          <w:szCs w:val="28"/>
        </w:rPr>
        <w:t xml:space="preserve">realizando operativos integrales de limpieza, recolección </w:t>
      </w:r>
      <w:r w:rsidR="00E47769">
        <w:rPr>
          <w:i/>
          <w:sz w:val="28"/>
          <w:szCs w:val="28"/>
        </w:rPr>
        <w:t xml:space="preserve">diferencial </w:t>
      </w:r>
      <w:r w:rsidR="00371470">
        <w:rPr>
          <w:i/>
          <w:sz w:val="28"/>
          <w:szCs w:val="28"/>
        </w:rPr>
        <w:t>de residuos</w:t>
      </w:r>
      <w:r w:rsidR="00E47769">
        <w:rPr>
          <w:i/>
          <w:sz w:val="28"/>
          <w:szCs w:val="28"/>
        </w:rPr>
        <w:t xml:space="preserve"> sólidos</w:t>
      </w:r>
      <w:r w:rsidR="00371470">
        <w:rPr>
          <w:i/>
          <w:sz w:val="28"/>
          <w:szCs w:val="28"/>
        </w:rPr>
        <w:t xml:space="preserve">, desmalezado y trabajos de desagües en las zonas afectadas. </w:t>
      </w:r>
      <w:r w:rsidR="00371470">
        <w:rPr>
          <w:i/>
          <w:sz w:val="28"/>
          <w:szCs w:val="28"/>
        </w:rPr>
        <w:lastRenderedPageBreak/>
        <w:t xml:space="preserve">A su vez, la normalización de </w:t>
      </w:r>
      <w:r w:rsidR="00E47769">
        <w:rPr>
          <w:i/>
          <w:sz w:val="28"/>
          <w:szCs w:val="28"/>
        </w:rPr>
        <w:t>todos los recorridos de las líneas de transporte público de pasajeros, y el trabajo diferenciado y exclusivo de los servicios complementarios de los equipos para atender las demandas solicitadas a la vía de comunicación del 0800</w:t>
      </w:r>
      <w:r w:rsidR="000C27E4">
        <w:rPr>
          <w:i/>
          <w:sz w:val="28"/>
          <w:szCs w:val="28"/>
        </w:rPr>
        <w:t xml:space="preserve"> y el contacto </w:t>
      </w:r>
      <w:r w:rsidR="00AA6F56">
        <w:rPr>
          <w:i/>
          <w:sz w:val="28"/>
          <w:szCs w:val="28"/>
        </w:rPr>
        <w:t xml:space="preserve">directo </w:t>
      </w:r>
      <w:r w:rsidR="000C27E4">
        <w:rPr>
          <w:i/>
          <w:sz w:val="28"/>
          <w:szCs w:val="28"/>
        </w:rPr>
        <w:t>con los vecinos</w:t>
      </w:r>
      <w:r w:rsidR="00AA6F56">
        <w:rPr>
          <w:i/>
          <w:sz w:val="28"/>
          <w:szCs w:val="28"/>
        </w:rPr>
        <w:t xml:space="preserve"> damnificados</w:t>
      </w:r>
      <w:r w:rsidR="00E47769">
        <w:rPr>
          <w:i/>
          <w:sz w:val="28"/>
          <w:szCs w:val="28"/>
        </w:rPr>
        <w:t xml:space="preserve">. </w:t>
      </w:r>
    </w:p>
    <w:p w14:paraId="0EDDF7B7" w14:textId="77777777" w:rsidR="000A05FB" w:rsidRDefault="000A05FB" w:rsidP="00AA6F56">
      <w:pPr>
        <w:jc w:val="both"/>
        <w:rPr>
          <w:rFonts w:hint="eastAsia"/>
          <w:i/>
          <w:sz w:val="28"/>
          <w:szCs w:val="28"/>
        </w:rPr>
      </w:pPr>
      <w:r>
        <w:rPr>
          <w:i/>
          <w:sz w:val="28"/>
          <w:szCs w:val="28"/>
        </w:rPr>
        <w:tab/>
      </w:r>
      <w:r w:rsidR="00ED44E5">
        <w:rPr>
          <w:i/>
          <w:sz w:val="28"/>
          <w:szCs w:val="28"/>
        </w:rPr>
        <w:t>Asimismo, d</w:t>
      </w:r>
      <w:r w:rsidRPr="00674A30">
        <w:rPr>
          <w:i/>
          <w:sz w:val="28"/>
          <w:szCs w:val="28"/>
        </w:rPr>
        <w:t xml:space="preserve">urante nuestra gestión municipal invertimos 50 </w:t>
      </w:r>
      <w:r w:rsidR="002D5A66">
        <w:rPr>
          <w:i/>
          <w:sz w:val="28"/>
          <w:szCs w:val="28"/>
        </w:rPr>
        <w:t>millones</w:t>
      </w:r>
      <w:r w:rsidR="002D5A66" w:rsidRPr="00674A30">
        <w:rPr>
          <w:i/>
          <w:sz w:val="28"/>
          <w:szCs w:val="28"/>
        </w:rPr>
        <w:t xml:space="preserve"> </w:t>
      </w:r>
      <w:r w:rsidRPr="00674A30">
        <w:rPr>
          <w:i/>
          <w:sz w:val="28"/>
          <w:szCs w:val="28"/>
        </w:rPr>
        <w:t xml:space="preserve">de pesos anuales en limpieza de desagües y lagunas, 150 </w:t>
      </w:r>
      <w:r w:rsidR="002D5A66">
        <w:rPr>
          <w:i/>
          <w:sz w:val="28"/>
          <w:szCs w:val="28"/>
        </w:rPr>
        <w:t>millones</w:t>
      </w:r>
      <w:r w:rsidR="002D5A66" w:rsidRPr="00674A30">
        <w:rPr>
          <w:i/>
          <w:sz w:val="28"/>
          <w:szCs w:val="28"/>
        </w:rPr>
        <w:t xml:space="preserve"> </w:t>
      </w:r>
      <w:r w:rsidRPr="00674A30">
        <w:rPr>
          <w:i/>
          <w:sz w:val="28"/>
          <w:szCs w:val="28"/>
        </w:rPr>
        <w:t>de pesos en desagües pluviales de carácter subterráneo</w:t>
      </w:r>
      <w:r w:rsidR="00DA3852" w:rsidRPr="00674A30">
        <w:rPr>
          <w:i/>
          <w:sz w:val="28"/>
          <w:szCs w:val="28"/>
        </w:rPr>
        <w:t>s, sumada a otras inversiones,</w:t>
      </w:r>
      <w:r w:rsidRPr="00674A30">
        <w:rPr>
          <w:i/>
          <w:sz w:val="28"/>
          <w:szCs w:val="28"/>
        </w:rPr>
        <w:t xml:space="preserve"> </w:t>
      </w:r>
      <w:r w:rsidR="00DA3852" w:rsidRPr="00674A30">
        <w:rPr>
          <w:i/>
          <w:sz w:val="28"/>
          <w:szCs w:val="28"/>
        </w:rPr>
        <w:t xml:space="preserve">para mejorar </w:t>
      </w:r>
      <w:r w:rsidRPr="00674A30">
        <w:rPr>
          <w:i/>
          <w:sz w:val="28"/>
          <w:szCs w:val="28"/>
        </w:rPr>
        <w:t>el sistema integral de prevención. Es insuficiente pero se advierte un trabajo sólido y sistemático. Pero es lo que podemos hacer en las actuales circunstancias</w:t>
      </w:r>
      <w:r>
        <w:rPr>
          <w:i/>
          <w:sz w:val="28"/>
          <w:szCs w:val="28"/>
        </w:rPr>
        <w:t>.</w:t>
      </w:r>
    </w:p>
    <w:p w14:paraId="7474E42B" w14:textId="77777777" w:rsidR="006F55E0" w:rsidRPr="00DA3852" w:rsidRDefault="000A05FB" w:rsidP="00AA6F56">
      <w:pPr>
        <w:jc w:val="both"/>
        <w:rPr>
          <w:rFonts w:hint="eastAsia"/>
          <w:i/>
          <w:strike/>
          <w:sz w:val="28"/>
          <w:szCs w:val="28"/>
        </w:rPr>
      </w:pPr>
      <w:r>
        <w:rPr>
          <w:i/>
          <w:sz w:val="28"/>
          <w:szCs w:val="28"/>
        </w:rPr>
        <w:tab/>
        <w:t xml:space="preserve">Por último, quiero expresar </w:t>
      </w:r>
      <w:r w:rsidR="006F55E0">
        <w:rPr>
          <w:i/>
          <w:sz w:val="28"/>
          <w:szCs w:val="28"/>
        </w:rPr>
        <w:t>que en otras ciudades del mundo, en países desarrollados</w:t>
      </w:r>
      <w:r w:rsidR="00DA3852">
        <w:rPr>
          <w:i/>
          <w:sz w:val="28"/>
          <w:szCs w:val="28"/>
        </w:rPr>
        <w:t>,</w:t>
      </w:r>
      <w:r w:rsidR="006F55E0">
        <w:rPr>
          <w:i/>
          <w:sz w:val="28"/>
          <w:szCs w:val="28"/>
        </w:rPr>
        <w:t xml:space="preserve"> las lluvias copiosas hacen estragos. Resistencia no es Cher</w:t>
      </w:r>
      <w:r w:rsidR="0039383A">
        <w:rPr>
          <w:i/>
          <w:sz w:val="28"/>
          <w:szCs w:val="28"/>
        </w:rPr>
        <w:t>rapunj</w:t>
      </w:r>
      <w:r w:rsidR="006F55E0">
        <w:rPr>
          <w:i/>
          <w:sz w:val="28"/>
          <w:szCs w:val="28"/>
        </w:rPr>
        <w:t xml:space="preserve">i en la India pero cada vez más recibe lluvias intensas en períodos cortos </w:t>
      </w:r>
      <w:r w:rsidR="006F55E0" w:rsidRPr="00DA3852">
        <w:rPr>
          <w:i/>
          <w:sz w:val="28"/>
          <w:szCs w:val="28"/>
        </w:rPr>
        <w:t>de tiempo</w:t>
      </w:r>
      <w:r w:rsidR="00DA3852">
        <w:rPr>
          <w:i/>
          <w:sz w:val="28"/>
          <w:szCs w:val="28"/>
        </w:rPr>
        <w:t>.</w:t>
      </w:r>
      <w:r w:rsidR="006F55E0" w:rsidRPr="00DA3852">
        <w:rPr>
          <w:i/>
          <w:sz w:val="28"/>
          <w:szCs w:val="28"/>
        </w:rPr>
        <w:t xml:space="preserve"> </w:t>
      </w:r>
    </w:p>
    <w:p w14:paraId="43624AC5" w14:textId="77777777" w:rsidR="006F55E0" w:rsidRPr="00AA6F56" w:rsidRDefault="006F55E0" w:rsidP="00AA6F56">
      <w:pPr>
        <w:jc w:val="both"/>
        <w:rPr>
          <w:rFonts w:hint="eastAsia"/>
          <w:i/>
          <w:sz w:val="28"/>
          <w:szCs w:val="28"/>
        </w:rPr>
      </w:pPr>
      <w:r>
        <w:rPr>
          <w:i/>
          <w:sz w:val="28"/>
          <w:szCs w:val="28"/>
        </w:rPr>
        <w:tab/>
        <w:t xml:space="preserve">En el año 2016 Japón se vio </w:t>
      </w:r>
      <w:r w:rsidRPr="00AA6F56">
        <w:rPr>
          <w:i/>
          <w:sz w:val="28"/>
          <w:szCs w:val="28"/>
        </w:rPr>
        <w:t>af</w:t>
      </w:r>
      <w:r w:rsidR="00DA3852" w:rsidRPr="00AA6F56">
        <w:rPr>
          <w:i/>
          <w:sz w:val="28"/>
          <w:szCs w:val="28"/>
        </w:rPr>
        <w:t xml:space="preserve">ectado por lluvias torrenciales, </w:t>
      </w:r>
      <w:r w:rsidRPr="00AA6F56">
        <w:rPr>
          <w:i/>
          <w:sz w:val="28"/>
          <w:szCs w:val="28"/>
        </w:rPr>
        <w:t>movilizando 54</w:t>
      </w:r>
      <w:r w:rsidR="00DA3852" w:rsidRPr="00AA6F56">
        <w:rPr>
          <w:i/>
          <w:sz w:val="28"/>
          <w:szCs w:val="28"/>
        </w:rPr>
        <w:t>.</w:t>
      </w:r>
      <w:r w:rsidRPr="00AA6F56">
        <w:rPr>
          <w:i/>
          <w:sz w:val="28"/>
          <w:szCs w:val="28"/>
        </w:rPr>
        <w:t xml:space="preserve">000 efectivos y 41 helicópteros. Nosotros recibimos 2 </w:t>
      </w:r>
      <w:r w:rsidR="004019BC" w:rsidRPr="00AA6F56">
        <w:rPr>
          <w:i/>
          <w:sz w:val="28"/>
          <w:szCs w:val="28"/>
        </w:rPr>
        <w:t>U</w:t>
      </w:r>
      <w:r w:rsidRPr="00AA6F56">
        <w:rPr>
          <w:i/>
          <w:sz w:val="28"/>
          <w:szCs w:val="28"/>
        </w:rPr>
        <w:t xml:space="preserve">nimog con seis militares </w:t>
      </w:r>
      <w:r w:rsidR="00DA3852" w:rsidRPr="00AA6F56">
        <w:rPr>
          <w:i/>
          <w:sz w:val="28"/>
          <w:szCs w:val="28"/>
        </w:rPr>
        <w:t xml:space="preserve">y aportamos </w:t>
      </w:r>
      <w:r w:rsidRPr="00AA6F56">
        <w:rPr>
          <w:i/>
          <w:sz w:val="28"/>
          <w:szCs w:val="28"/>
        </w:rPr>
        <w:t xml:space="preserve">el combustible. En 4 días llovieron 454 mm en la ciudad de Hiroshima (la de la bomba atómica). Nosotros recibimos 250 mm en 8 horas. </w:t>
      </w:r>
    </w:p>
    <w:p w14:paraId="2CDB38DD" w14:textId="77777777" w:rsidR="006F55E0" w:rsidRDefault="006F55E0" w:rsidP="00AA6F56">
      <w:pPr>
        <w:jc w:val="both"/>
        <w:rPr>
          <w:rFonts w:hint="eastAsia"/>
          <w:i/>
          <w:sz w:val="28"/>
          <w:szCs w:val="28"/>
        </w:rPr>
      </w:pPr>
      <w:r w:rsidRPr="00AA6F56">
        <w:rPr>
          <w:i/>
          <w:sz w:val="28"/>
          <w:szCs w:val="28"/>
        </w:rPr>
        <w:tab/>
        <w:t>En la provincia sureña holandesa de Limburgo llovió en poco tiempo 44 mm con anegamientos. Zonas de Bélgica, Reino Unido, España, Italia y Alemania</w:t>
      </w:r>
      <w:r w:rsidR="00DA3852" w:rsidRPr="00AA6F56">
        <w:rPr>
          <w:i/>
          <w:sz w:val="28"/>
          <w:szCs w:val="28"/>
        </w:rPr>
        <w:t>,</w:t>
      </w:r>
      <w:r w:rsidRPr="00AA6F56">
        <w:rPr>
          <w:i/>
          <w:sz w:val="28"/>
          <w:szCs w:val="28"/>
        </w:rPr>
        <w:t xml:space="preserve"> en el mes de mayo</w:t>
      </w:r>
      <w:r>
        <w:rPr>
          <w:i/>
          <w:sz w:val="28"/>
          <w:szCs w:val="28"/>
        </w:rPr>
        <w:t xml:space="preserve"> de 2018</w:t>
      </w:r>
      <w:r w:rsidR="00DA3852">
        <w:rPr>
          <w:i/>
          <w:sz w:val="28"/>
          <w:szCs w:val="28"/>
        </w:rPr>
        <w:t>,</w:t>
      </w:r>
      <w:r>
        <w:rPr>
          <w:i/>
          <w:sz w:val="28"/>
          <w:szCs w:val="28"/>
        </w:rPr>
        <w:t xml:space="preserve"> dejaron al descubierto cierres de calles, sótanos y garajes inundados. Con 82 mm en una hora y </w:t>
      </w:r>
      <w:r w:rsidR="00DA3852">
        <w:rPr>
          <w:i/>
          <w:sz w:val="28"/>
          <w:szCs w:val="28"/>
        </w:rPr>
        <w:t>media,</w:t>
      </w:r>
      <w:r>
        <w:rPr>
          <w:i/>
          <w:sz w:val="28"/>
          <w:szCs w:val="28"/>
        </w:rPr>
        <w:t xml:space="preserve"> el municipio belga de Aaller se vio afectado por una inundación.</w:t>
      </w:r>
    </w:p>
    <w:p w14:paraId="71215332" w14:textId="77777777" w:rsidR="006F55E0" w:rsidRPr="00DA3852" w:rsidRDefault="006F55E0" w:rsidP="00AA6F56">
      <w:pPr>
        <w:jc w:val="both"/>
        <w:rPr>
          <w:rFonts w:hint="eastAsia"/>
          <w:i/>
          <w:color w:val="0070C0"/>
          <w:sz w:val="28"/>
          <w:szCs w:val="28"/>
        </w:rPr>
      </w:pPr>
      <w:r>
        <w:rPr>
          <w:i/>
          <w:sz w:val="28"/>
          <w:szCs w:val="28"/>
        </w:rPr>
        <w:tab/>
        <w:t xml:space="preserve">Wuppertal en Alemania con 40 mm en corto período </w:t>
      </w:r>
      <w:r w:rsidR="00DA3852">
        <w:rPr>
          <w:i/>
          <w:sz w:val="28"/>
          <w:szCs w:val="28"/>
        </w:rPr>
        <w:t>sufrió</w:t>
      </w:r>
      <w:r>
        <w:rPr>
          <w:i/>
          <w:sz w:val="28"/>
          <w:szCs w:val="28"/>
        </w:rPr>
        <w:t xml:space="preserve"> inundaciones repentinas de una carretera, trastornos en tráfico ferroviario, del mismo modo que Toscana </w:t>
      </w:r>
      <w:r w:rsidR="00DA3852">
        <w:rPr>
          <w:i/>
          <w:sz w:val="28"/>
          <w:szCs w:val="28"/>
        </w:rPr>
        <w:t>(</w:t>
      </w:r>
      <w:r>
        <w:rPr>
          <w:i/>
          <w:sz w:val="28"/>
          <w:szCs w:val="28"/>
        </w:rPr>
        <w:t>Italia</w:t>
      </w:r>
      <w:r w:rsidR="00DA3852">
        <w:rPr>
          <w:i/>
          <w:sz w:val="28"/>
          <w:szCs w:val="28"/>
        </w:rPr>
        <w:t>)</w:t>
      </w:r>
      <w:r>
        <w:rPr>
          <w:i/>
          <w:sz w:val="28"/>
          <w:szCs w:val="28"/>
        </w:rPr>
        <w:t xml:space="preserve"> y Aude </w:t>
      </w:r>
      <w:r w:rsidR="00DA3852">
        <w:rPr>
          <w:i/>
          <w:sz w:val="28"/>
          <w:szCs w:val="28"/>
        </w:rPr>
        <w:t>(</w:t>
      </w:r>
      <w:r>
        <w:rPr>
          <w:i/>
          <w:sz w:val="28"/>
          <w:szCs w:val="28"/>
        </w:rPr>
        <w:t>Francia</w:t>
      </w:r>
      <w:r w:rsidR="00DA3852">
        <w:rPr>
          <w:i/>
          <w:sz w:val="28"/>
          <w:szCs w:val="28"/>
        </w:rPr>
        <w:t>),</w:t>
      </w:r>
      <w:r>
        <w:rPr>
          <w:i/>
          <w:sz w:val="28"/>
          <w:szCs w:val="28"/>
        </w:rPr>
        <w:t xml:space="preserve"> por citar sólo algunas ciudades. Esto también se extien</w:t>
      </w:r>
      <w:r w:rsidRPr="00AA6F56">
        <w:rPr>
          <w:i/>
          <w:sz w:val="28"/>
          <w:szCs w:val="28"/>
        </w:rPr>
        <w:t xml:space="preserve">de a Estados Unidos, China y </w:t>
      </w:r>
      <w:r w:rsidR="00DA3852" w:rsidRPr="00AA6F56">
        <w:rPr>
          <w:i/>
          <w:sz w:val="28"/>
          <w:szCs w:val="28"/>
        </w:rPr>
        <w:t xml:space="preserve">ciudades de </w:t>
      </w:r>
      <w:r w:rsidRPr="00AA6F56">
        <w:rPr>
          <w:i/>
          <w:sz w:val="28"/>
          <w:szCs w:val="28"/>
        </w:rPr>
        <w:t>otr</w:t>
      </w:r>
      <w:r w:rsidR="00DA3852" w:rsidRPr="00AA6F56">
        <w:rPr>
          <w:i/>
          <w:sz w:val="28"/>
          <w:szCs w:val="28"/>
        </w:rPr>
        <w:t>o</w:t>
      </w:r>
      <w:r w:rsidRPr="00AA6F56">
        <w:rPr>
          <w:i/>
          <w:sz w:val="28"/>
          <w:szCs w:val="28"/>
        </w:rPr>
        <w:t xml:space="preserve">s </w:t>
      </w:r>
      <w:r w:rsidR="00DA3852" w:rsidRPr="00AA6F56">
        <w:rPr>
          <w:i/>
          <w:sz w:val="28"/>
          <w:szCs w:val="28"/>
        </w:rPr>
        <w:t xml:space="preserve">países </w:t>
      </w:r>
      <w:r w:rsidRPr="00AA6F56">
        <w:rPr>
          <w:i/>
          <w:sz w:val="28"/>
          <w:szCs w:val="28"/>
        </w:rPr>
        <w:t>del mundo.</w:t>
      </w:r>
    </w:p>
    <w:p w14:paraId="268187FF" w14:textId="77777777" w:rsidR="000739F5" w:rsidRDefault="006F55E0" w:rsidP="00AA6F56">
      <w:pPr>
        <w:jc w:val="both"/>
        <w:rPr>
          <w:rFonts w:hint="eastAsia"/>
          <w:i/>
          <w:sz w:val="28"/>
          <w:szCs w:val="28"/>
        </w:rPr>
      </w:pPr>
      <w:r>
        <w:rPr>
          <w:i/>
          <w:sz w:val="28"/>
          <w:szCs w:val="28"/>
        </w:rPr>
        <w:tab/>
        <w:t xml:space="preserve">Nadie está exento de responsabilidades, pero lluvias normales no provocan anegamientos en la ciudad y a pesar de </w:t>
      </w:r>
      <w:r w:rsidR="000739F5">
        <w:rPr>
          <w:i/>
          <w:sz w:val="28"/>
          <w:szCs w:val="28"/>
        </w:rPr>
        <w:t>las dificultades</w:t>
      </w:r>
      <w:r w:rsidR="00DA3852">
        <w:rPr>
          <w:i/>
          <w:sz w:val="28"/>
          <w:szCs w:val="28"/>
        </w:rPr>
        <w:t>,</w:t>
      </w:r>
      <w:r w:rsidR="000739F5">
        <w:rPr>
          <w:i/>
          <w:sz w:val="28"/>
          <w:szCs w:val="28"/>
        </w:rPr>
        <w:t xml:space="preserve"> los problemas se resuelven en el marco de las restricciones presupuestarias.</w:t>
      </w:r>
    </w:p>
    <w:p w14:paraId="524B0B97" w14:textId="77777777" w:rsidR="000739F5" w:rsidRDefault="000739F5" w:rsidP="00AA6F56">
      <w:pPr>
        <w:jc w:val="both"/>
        <w:rPr>
          <w:rFonts w:hint="eastAsia"/>
          <w:i/>
          <w:sz w:val="28"/>
          <w:szCs w:val="28"/>
        </w:rPr>
      </w:pPr>
      <w:r>
        <w:rPr>
          <w:i/>
          <w:sz w:val="28"/>
          <w:szCs w:val="28"/>
        </w:rPr>
        <w:lastRenderedPageBreak/>
        <w:tab/>
        <w:t>Las decisiones fueron racionales. Logramos la sanción de un Código Ambiental que la ciudad nunca tuvo. Ahora lo estamos implementando.</w:t>
      </w:r>
    </w:p>
    <w:p w14:paraId="24088469" w14:textId="77777777" w:rsidR="000739F5" w:rsidRDefault="000739F5" w:rsidP="00AA6F56">
      <w:pPr>
        <w:jc w:val="both"/>
        <w:rPr>
          <w:rFonts w:hint="eastAsia"/>
          <w:i/>
          <w:sz w:val="28"/>
          <w:szCs w:val="28"/>
        </w:rPr>
      </w:pPr>
      <w:r>
        <w:rPr>
          <w:i/>
          <w:sz w:val="28"/>
          <w:szCs w:val="28"/>
        </w:rPr>
        <w:tab/>
        <w:t xml:space="preserve">Estamos en el proceso </w:t>
      </w:r>
      <w:r w:rsidRPr="00AA6F56">
        <w:rPr>
          <w:i/>
          <w:sz w:val="28"/>
          <w:szCs w:val="28"/>
        </w:rPr>
        <w:t xml:space="preserve">de aprobación del </w:t>
      </w:r>
      <w:r w:rsidR="001D5F1E">
        <w:rPr>
          <w:i/>
          <w:sz w:val="28"/>
          <w:szCs w:val="28"/>
        </w:rPr>
        <w:t>Plan de Ordenamiento Territorial (</w:t>
      </w:r>
      <w:r w:rsidRPr="00AA6F56">
        <w:rPr>
          <w:i/>
          <w:sz w:val="28"/>
          <w:szCs w:val="28"/>
        </w:rPr>
        <w:t>POT</w:t>
      </w:r>
      <w:r w:rsidR="001D5F1E">
        <w:rPr>
          <w:i/>
          <w:sz w:val="28"/>
          <w:szCs w:val="28"/>
        </w:rPr>
        <w:t>)</w:t>
      </w:r>
      <w:r w:rsidRPr="00AA6F56">
        <w:rPr>
          <w:i/>
          <w:sz w:val="28"/>
          <w:szCs w:val="28"/>
        </w:rPr>
        <w:t xml:space="preserve"> 2040 realizado en convenio con la Facultad de Arquitectura y Urbanismo de la UNNE </w:t>
      </w:r>
      <w:r w:rsidR="00DA3852" w:rsidRPr="00AA6F56">
        <w:rPr>
          <w:i/>
          <w:sz w:val="28"/>
          <w:szCs w:val="28"/>
        </w:rPr>
        <w:t xml:space="preserve">para contar con una ciudad con un crecimiento ordenado, equilibrio y sostenible </w:t>
      </w:r>
      <w:r w:rsidRPr="00AA6F56">
        <w:rPr>
          <w:i/>
          <w:sz w:val="28"/>
          <w:szCs w:val="28"/>
        </w:rPr>
        <w:t>y esperamos la sanción de la O</w:t>
      </w:r>
      <w:r w:rsidR="00DA3852" w:rsidRPr="00AA6F56">
        <w:rPr>
          <w:i/>
          <w:sz w:val="28"/>
          <w:szCs w:val="28"/>
        </w:rPr>
        <w:t xml:space="preserve">rdenanza </w:t>
      </w:r>
      <w:r w:rsidRPr="00AA6F56">
        <w:rPr>
          <w:i/>
          <w:sz w:val="28"/>
          <w:szCs w:val="28"/>
        </w:rPr>
        <w:t>M</w:t>
      </w:r>
      <w:r w:rsidR="00DA3852" w:rsidRPr="00AA6F56">
        <w:rPr>
          <w:i/>
          <w:sz w:val="28"/>
          <w:szCs w:val="28"/>
        </w:rPr>
        <w:t>unicipal</w:t>
      </w:r>
      <w:r w:rsidRPr="00AA6F56">
        <w:rPr>
          <w:i/>
          <w:sz w:val="28"/>
          <w:szCs w:val="28"/>
        </w:rPr>
        <w:t xml:space="preserve"> regulatoria del Código de Planeamiento Urbano que no se modifica </w:t>
      </w:r>
      <w:r>
        <w:rPr>
          <w:i/>
          <w:sz w:val="28"/>
          <w:szCs w:val="28"/>
        </w:rPr>
        <w:t>integralmente desde 1979.</w:t>
      </w:r>
    </w:p>
    <w:p w14:paraId="75CC80D7" w14:textId="77777777" w:rsidR="00E90B83" w:rsidRPr="00744D7D" w:rsidRDefault="000739F5" w:rsidP="00AA6F56">
      <w:pPr>
        <w:jc w:val="both"/>
        <w:rPr>
          <w:rFonts w:hint="eastAsia"/>
          <w:i/>
          <w:sz w:val="28"/>
          <w:szCs w:val="28"/>
        </w:rPr>
      </w:pPr>
      <w:r>
        <w:rPr>
          <w:i/>
          <w:sz w:val="28"/>
          <w:szCs w:val="28"/>
        </w:rPr>
        <w:tab/>
        <w:t>Todo lo que hay que hacer lo hicimos. Y todo lo necesario lo estamos haciendo pero los recursos son escasos y las necesidades son múltiples.</w:t>
      </w:r>
      <w:r w:rsidR="00DA3852">
        <w:rPr>
          <w:i/>
          <w:sz w:val="28"/>
          <w:szCs w:val="28"/>
        </w:rPr>
        <w:t xml:space="preserve"> </w:t>
      </w:r>
    </w:p>
    <w:sectPr w:rsidR="00E90B83" w:rsidRPr="00744D7D" w:rsidSect="00AB6DE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8DA41" w14:textId="77777777" w:rsidR="00335D2C" w:rsidRDefault="00335D2C" w:rsidP="00CC064E">
      <w:pPr>
        <w:spacing w:after="0" w:line="240" w:lineRule="auto"/>
        <w:rPr>
          <w:rFonts w:hint="eastAsia"/>
        </w:rPr>
      </w:pPr>
      <w:r>
        <w:separator/>
      </w:r>
    </w:p>
  </w:endnote>
  <w:endnote w:type="continuationSeparator" w:id="0">
    <w:p w14:paraId="32FECC03" w14:textId="77777777" w:rsidR="00335D2C" w:rsidRDefault="00335D2C" w:rsidP="00CC064E">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altName w:val="Helvetica"/>
    <w:panose1 w:val="020F0502020204030204"/>
    <w:charset w:val="00"/>
    <w:family w:val="roman"/>
    <w:notTrueType/>
    <w:pitch w:val="default"/>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altName w:val="Times"/>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07B38" w14:textId="77777777" w:rsidR="00335D2C" w:rsidRDefault="00335D2C" w:rsidP="00CC064E">
      <w:pPr>
        <w:spacing w:after="0" w:line="240" w:lineRule="auto"/>
        <w:rPr>
          <w:rFonts w:hint="eastAsia"/>
        </w:rPr>
      </w:pPr>
      <w:r>
        <w:separator/>
      </w:r>
    </w:p>
  </w:footnote>
  <w:footnote w:type="continuationSeparator" w:id="0">
    <w:p w14:paraId="6AEE5A28" w14:textId="77777777" w:rsidR="00335D2C" w:rsidRDefault="00335D2C" w:rsidP="00CC064E">
      <w:pPr>
        <w:spacing w:after="0" w:line="240" w:lineRule="auto"/>
        <w:rPr>
          <w:rFonts w:hint="eastAsia"/>
        </w:rPr>
      </w:pPr>
      <w:r>
        <w:continuationSeparator/>
      </w:r>
    </w:p>
  </w:footnote>
  <w:footnote w:id="1">
    <w:p w14:paraId="0DF2BC03" w14:textId="77777777" w:rsidR="00CC064E" w:rsidRPr="00CC064E" w:rsidRDefault="00CC064E" w:rsidP="00CC064E">
      <w:pPr>
        <w:jc w:val="both"/>
        <w:rPr>
          <w:rFonts w:hint="eastAsia"/>
        </w:rPr>
      </w:pPr>
      <w:r>
        <w:rPr>
          <w:rStyle w:val="FootnoteReference"/>
        </w:rPr>
        <w:footnoteRef/>
      </w:r>
      <w:r>
        <w:t xml:space="preserve"> </w:t>
      </w:r>
      <w:r w:rsidRPr="0047033B">
        <w:rPr>
          <w:sz w:val="18"/>
          <w:szCs w:val="18"/>
        </w:rPr>
        <w:t xml:space="preserve">Para extraer el componente cíclico de la serie histórica de precipitaciones en la ciudad de Resistencia se aplica el filtro </w:t>
      </w:r>
      <w:r w:rsidRPr="0047033B">
        <w:rPr>
          <w:b/>
          <w:sz w:val="18"/>
          <w:szCs w:val="18"/>
        </w:rPr>
        <w:t xml:space="preserve">Hodrick-Prescott </w:t>
      </w:r>
      <w:r>
        <w:rPr>
          <w:b/>
          <w:sz w:val="18"/>
          <w:szCs w:val="18"/>
        </w:rPr>
        <w:t xml:space="preserve"> </w:t>
      </w:r>
      <w:r w:rsidRPr="0047033B">
        <w:rPr>
          <w:sz w:val="18"/>
          <w:szCs w:val="18"/>
        </w:rPr>
        <w:t>con lam</w:t>
      </w:r>
      <w:r>
        <w:rPr>
          <w:sz w:val="18"/>
          <w:szCs w:val="18"/>
        </w:rPr>
        <w:t>b</w:t>
      </w:r>
      <w:r w:rsidRPr="0047033B">
        <w:rPr>
          <w:sz w:val="18"/>
          <w:szCs w:val="18"/>
        </w:rPr>
        <w:t>da =1</w:t>
      </w:r>
      <w:r>
        <w:rPr>
          <w:b/>
          <w:sz w:val="18"/>
          <w:szCs w:val="18"/>
        </w:rPr>
        <w:t xml:space="preserve"> </w:t>
      </w:r>
      <w:r w:rsidRPr="0047033B">
        <w:rPr>
          <w:i/>
          <w:sz w:val="18"/>
          <w:szCs w:val="18"/>
        </w:rPr>
        <w:t>(Es actualmente una de las técnicas más ampliamente utilizada en las investigaciones sobre ciclos para calcular la tendencia de las series de tiempo, pues brinda resultados más consistentes con los datos observados que otros métodos).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07B5"/>
    <w:multiLevelType w:val="hybridMultilevel"/>
    <w:tmpl w:val="751C4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D"/>
    <w:rsid w:val="000355D6"/>
    <w:rsid w:val="00060F7A"/>
    <w:rsid w:val="00066566"/>
    <w:rsid w:val="000739F5"/>
    <w:rsid w:val="000A05FB"/>
    <w:rsid w:val="000B04ED"/>
    <w:rsid w:val="000C0650"/>
    <w:rsid w:val="000C27E4"/>
    <w:rsid w:val="000C656D"/>
    <w:rsid w:val="000E142D"/>
    <w:rsid w:val="000E3693"/>
    <w:rsid w:val="00102F91"/>
    <w:rsid w:val="00112E57"/>
    <w:rsid w:val="00117A57"/>
    <w:rsid w:val="001548C4"/>
    <w:rsid w:val="0016197E"/>
    <w:rsid w:val="00170462"/>
    <w:rsid w:val="001B5239"/>
    <w:rsid w:val="001B67A4"/>
    <w:rsid w:val="001C3B40"/>
    <w:rsid w:val="001D5F1E"/>
    <w:rsid w:val="002136E3"/>
    <w:rsid w:val="00235B8E"/>
    <w:rsid w:val="0025308D"/>
    <w:rsid w:val="00286E96"/>
    <w:rsid w:val="00291431"/>
    <w:rsid w:val="002B414E"/>
    <w:rsid w:val="002D5A66"/>
    <w:rsid w:val="00326F69"/>
    <w:rsid w:val="00335D2C"/>
    <w:rsid w:val="00340372"/>
    <w:rsid w:val="0035573F"/>
    <w:rsid w:val="003570C2"/>
    <w:rsid w:val="00371470"/>
    <w:rsid w:val="00382DFB"/>
    <w:rsid w:val="003925E5"/>
    <w:rsid w:val="0039383A"/>
    <w:rsid w:val="003C5078"/>
    <w:rsid w:val="003E235D"/>
    <w:rsid w:val="003E6190"/>
    <w:rsid w:val="004019BC"/>
    <w:rsid w:val="00426225"/>
    <w:rsid w:val="004973EF"/>
    <w:rsid w:val="004B5DEC"/>
    <w:rsid w:val="004E2667"/>
    <w:rsid w:val="005003BB"/>
    <w:rsid w:val="005113C5"/>
    <w:rsid w:val="005129B2"/>
    <w:rsid w:val="0051665E"/>
    <w:rsid w:val="0054645B"/>
    <w:rsid w:val="00580BD9"/>
    <w:rsid w:val="005A0689"/>
    <w:rsid w:val="005F2D71"/>
    <w:rsid w:val="0062574A"/>
    <w:rsid w:val="00634913"/>
    <w:rsid w:val="0066320E"/>
    <w:rsid w:val="00674A30"/>
    <w:rsid w:val="0068113E"/>
    <w:rsid w:val="006F55E0"/>
    <w:rsid w:val="006F7CC9"/>
    <w:rsid w:val="00724290"/>
    <w:rsid w:val="00740F6A"/>
    <w:rsid w:val="00744D7D"/>
    <w:rsid w:val="00753FD9"/>
    <w:rsid w:val="00785758"/>
    <w:rsid w:val="007B65DE"/>
    <w:rsid w:val="007D6E13"/>
    <w:rsid w:val="007F7EBD"/>
    <w:rsid w:val="007F7FF0"/>
    <w:rsid w:val="0080587B"/>
    <w:rsid w:val="00806A3C"/>
    <w:rsid w:val="0094274C"/>
    <w:rsid w:val="00947771"/>
    <w:rsid w:val="00995286"/>
    <w:rsid w:val="00A133BB"/>
    <w:rsid w:val="00A25C23"/>
    <w:rsid w:val="00A34CC2"/>
    <w:rsid w:val="00A908C3"/>
    <w:rsid w:val="00AA6F56"/>
    <w:rsid w:val="00AB6DE7"/>
    <w:rsid w:val="00B156A7"/>
    <w:rsid w:val="00B235F4"/>
    <w:rsid w:val="00B32A3B"/>
    <w:rsid w:val="00B37994"/>
    <w:rsid w:val="00B42B48"/>
    <w:rsid w:val="00B5730E"/>
    <w:rsid w:val="00B86C09"/>
    <w:rsid w:val="00BB19B4"/>
    <w:rsid w:val="00BB7A7F"/>
    <w:rsid w:val="00BD553E"/>
    <w:rsid w:val="00BE23F1"/>
    <w:rsid w:val="00C41602"/>
    <w:rsid w:val="00C468B9"/>
    <w:rsid w:val="00C85F4B"/>
    <w:rsid w:val="00C867A0"/>
    <w:rsid w:val="00CB1421"/>
    <w:rsid w:val="00CB5A8E"/>
    <w:rsid w:val="00CC064E"/>
    <w:rsid w:val="00CC0912"/>
    <w:rsid w:val="00D02499"/>
    <w:rsid w:val="00D03E16"/>
    <w:rsid w:val="00D0624E"/>
    <w:rsid w:val="00D33989"/>
    <w:rsid w:val="00D371E2"/>
    <w:rsid w:val="00D5239F"/>
    <w:rsid w:val="00D908ED"/>
    <w:rsid w:val="00DA1C8F"/>
    <w:rsid w:val="00DA24A9"/>
    <w:rsid w:val="00DA3852"/>
    <w:rsid w:val="00DB78EA"/>
    <w:rsid w:val="00DF0CD1"/>
    <w:rsid w:val="00DF4176"/>
    <w:rsid w:val="00E13773"/>
    <w:rsid w:val="00E15BF1"/>
    <w:rsid w:val="00E24788"/>
    <w:rsid w:val="00E36685"/>
    <w:rsid w:val="00E47769"/>
    <w:rsid w:val="00E576A7"/>
    <w:rsid w:val="00E623F3"/>
    <w:rsid w:val="00E8042B"/>
    <w:rsid w:val="00E85749"/>
    <w:rsid w:val="00E86395"/>
    <w:rsid w:val="00E90B83"/>
    <w:rsid w:val="00ED44E5"/>
    <w:rsid w:val="00FB3C04"/>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0D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99"/>
    <w:rPr>
      <w:rFonts w:ascii="Tahoma" w:hAnsi="Tahoma" w:cs="Tahoma"/>
      <w:sz w:val="16"/>
      <w:szCs w:val="16"/>
    </w:rPr>
  </w:style>
  <w:style w:type="paragraph" w:styleId="FootnoteText">
    <w:name w:val="footnote text"/>
    <w:basedOn w:val="Normal"/>
    <w:link w:val="FootnoteTextChar"/>
    <w:uiPriority w:val="99"/>
    <w:semiHidden/>
    <w:unhideWhenUsed/>
    <w:rsid w:val="00CC0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64E"/>
    <w:rPr>
      <w:sz w:val="20"/>
      <w:szCs w:val="20"/>
    </w:rPr>
  </w:style>
  <w:style w:type="character" w:styleId="FootnoteReference">
    <w:name w:val="footnote reference"/>
    <w:basedOn w:val="DefaultParagraphFont"/>
    <w:uiPriority w:val="99"/>
    <w:semiHidden/>
    <w:unhideWhenUsed/>
    <w:rsid w:val="00CC064E"/>
    <w:rPr>
      <w:vertAlign w:val="superscript"/>
    </w:rPr>
  </w:style>
  <w:style w:type="paragraph" w:styleId="ListParagraph">
    <w:name w:val="List Paragraph"/>
    <w:basedOn w:val="Normal"/>
    <w:uiPriority w:val="34"/>
    <w:qFormat/>
    <w:rsid w:val="004E26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99"/>
    <w:rPr>
      <w:rFonts w:ascii="Tahoma" w:hAnsi="Tahoma" w:cs="Tahoma"/>
      <w:sz w:val="16"/>
      <w:szCs w:val="16"/>
    </w:rPr>
  </w:style>
  <w:style w:type="paragraph" w:styleId="FootnoteText">
    <w:name w:val="footnote text"/>
    <w:basedOn w:val="Normal"/>
    <w:link w:val="FootnoteTextChar"/>
    <w:uiPriority w:val="99"/>
    <w:semiHidden/>
    <w:unhideWhenUsed/>
    <w:rsid w:val="00CC0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64E"/>
    <w:rPr>
      <w:sz w:val="20"/>
      <w:szCs w:val="20"/>
    </w:rPr>
  </w:style>
  <w:style w:type="character" w:styleId="FootnoteReference">
    <w:name w:val="footnote reference"/>
    <w:basedOn w:val="DefaultParagraphFont"/>
    <w:uiPriority w:val="99"/>
    <w:semiHidden/>
    <w:unhideWhenUsed/>
    <w:rsid w:val="00CC064E"/>
    <w:rPr>
      <w:vertAlign w:val="superscript"/>
    </w:rPr>
  </w:style>
  <w:style w:type="paragraph" w:styleId="ListParagraph">
    <w:name w:val="List Paragraph"/>
    <w:basedOn w:val="Normal"/>
    <w:uiPriority w:val="34"/>
    <w:qFormat/>
    <w:rsid w:val="004E2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663">
      <w:bodyDiv w:val="1"/>
      <w:marLeft w:val="0"/>
      <w:marRight w:val="0"/>
      <w:marTop w:val="0"/>
      <w:marBottom w:val="0"/>
      <w:divBdr>
        <w:top w:val="none" w:sz="0" w:space="0" w:color="auto"/>
        <w:left w:val="none" w:sz="0" w:space="0" w:color="auto"/>
        <w:bottom w:val="none" w:sz="0" w:space="0" w:color="auto"/>
        <w:right w:val="none" w:sz="0" w:space="0" w:color="auto"/>
      </w:divBdr>
    </w:div>
    <w:div w:id="862792280">
      <w:bodyDiv w:val="1"/>
      <w:marLeft w:val="0"/>
      <w:marRight w:val="0"/>
      <w:marTop w:val="0"/>
      <w:marBottom w:val="0"/>
      <w:divBdr>
        <w:top w:val="none" w:sz="0" w:space="0" w:color="auto"/>
        <w:left w:val="none" w:sz="0" w:space="0" w:color="auto"/>
        <w:bottom w:val="none" w:sz="0" w:space="0" w:color="auto"/>
        <w:right w:val="none" w:sz="0" w:space="0" w:color="auto"/>
      </w:divBdr>
    </w:div>
    <w:div w:id="1012294637">
      <w:bodyDiv w:val="1"/>
      <w:marLeft w:val="0"/>
      <w:marRight w:val="0"/>
      <w:marTop w:val="0"/>
      <w:marBottom w:val="0"/>
      <w:divBdr>
        <w:top w:val="none" w:sz="0" w:space="0" w:color="auto"/>
        <w:left w:val="none" w:sz="0" w:space="0" w:color="auto"/>
        <w:bottom w:val="none" w:sz="0" w:space="0" w:color="auto"/>
        <w:right w:val="none" w:sz="0" w:space="0" w:color="auto"/>
      </w:divBdr>
    </w:div>
    <w:div w:id="1093015531">
      <w:bodyDiv w:val="1"/>
      <w:marLeft w:val="0"/>
      <w:marRight w:val="0"/>
      <w:marTop w:val="0"/>
      <w:marBottom w:val="0"/>
      <w:divBdr>
        <w:top w:val="none" w:sz="0" w:space="0" w:color="auto"/>
        <w:left w:val="none" w:sz="0" w:space="0" w:color="auto"/>
        <w:bottom w:val="none" w:sz="0" w:space="0" w:color="auto"/>
        <w:right w:val="none" w:sz="0" w:space="0" w:color="auto"/>
      </w:divBdr>
    </w:div>
    <w:div w:id="1312714647">
      <w:bodyDiv w:val="1"/>
      <w:marLeft w:val="0"/>
      <w:marRight w:val="0"/>
      <w:marTop w:val="0"/>
      <w:marBottom w:val="0"/>
      <w:divBdr>
        <w:top w:val="none" w:sz="0" w:space="0" w:color="auto"/>
        <w:left w:val="none" w:sz="0" w:space="0" w:color="auto"/>
        <w:bottom w:val="none" w:sz="0" w:space="0" w:color="auto"/>
        <w:right w:val="none" w:sz="0" w:space="0" w:color="auto"/>
      </w:divBdr>
    </w:div>
    <w:div w:id="19231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chart" Target="charts/chart2.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esktop\lluvias_2019.xlsx"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lucas\Downloads\rios.xlsx" TargetMode="External"/><Relationship Id="rId2"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779323139665054"/>
          <c:y val="0.0456905503634476"/>
          <c:w val="0.899328167979003"/>
          <c:h val="0.839882584770361"/>
        </c:manualLayout>
      </c:layout>
      <c:barChart>
        <c:barDir val="col"/>
        <c:grouping val="clustered"/>
        <c:varyColors val="0"/>
        <c:ser>
          <c:idx val="1"/>
          <c:order val="1"/>
          <c:spPr>
            <a:solidFill>
              <a:schemeClr val="bg1">
                <a:lumMod val="85000"/>
              </a:schemeClr>
            </a:solidFill>
            <a:ln>
              <a:solidFill>
                <a:schemeClr val="bg1">
                  <a:lumMod val="85000"/>
                </a:schemeClr>
              </a:solidFill>
            </a:ln>
            <a:effectLst/>
          </c:spPr>
          <c:invertIfNegative val="0"/>
          <c:val>
            <c:numRef>
              <c:f>Hoja7!$C$2:$C$67</c:f>
              <c:numCache>
                <c:formatCode>General</c:formatCode>
                <c:ptCount val="66"/>
                <c:pt idx="3">
                  <c:v>900.0</c:v>
                </c:pt>
                <c:pt idx="4">
                  <c:v>900.0</c:v>
                </c:pt>
                <c:pt idx="5">
                  <c:v>900.0</c:v>
                </c:pt>
                <c:pt idx="6">
                  <c:v>900.0</c:v>
                </c:pt>
                <c:pt idx="9">
                  <c:v>900.0</c:v>
                </c:pt>
                <c:pt idx="10">
                  <c:v>900.0</c:v>
                </c:pt>
                <c:pt idx="11">
                  <c:v>900.0</c:v>
                </c:pt>
                <c:pt idx="14">
                  <c:v>900.0</c:v>
                </c:pt>
                <c:pt idx="15">
                  <c:v>900.0</c:v>
                </c:pt>
                <c:pt idx="16">
                  <c:v>900.0</c:v>
                </c:pt>
                <c:pt idx="17">
                  <c:v>900.0</c:v>
                </c:pt>
                <c:pt idx="18">
                  <c:v>900.0</c:v>
                </c:pt>
                <c:pt idx="24">
                  <c:v>900.0</c:v>
                </c:pt>
                <c:pt idx="25">
                  <c:v>900.0</c:v>
                </c:pt>
                <c:pt idx="26">
                  <c:v>900.0</c:v>
                </c:pt>
                <c:pt idx="27">
                  <c:v>900.0</c:v>
                </c:pt>
                <c:pt idx="28">
                  <c:v>900.0</c:v>
                </c:pt>
                <c:pt idx="29">
                  <c:v>900.0</c:v>
                </c:pt>
                <c:pt idx="30">
                  <c:v>900.0</c:v>
                </c:pt>
                <c:pt idx="36">
                  <c:v>900.0</c:v>
                </c:pt>
                <c:pt idx="37">
                  <c:v>900.0</c:v>
                </c:pt>
                <c:pt idx="38">
                  <c:v>900.0</c:v>
                </c:pt>
                <c:pt idx="39">
                  <c:v>900.0</c:v>
                </c:pt>
                <c:pt idx="40">
                  <c:v>900.0</c:v>
                </c:pt>
                <c:pt idx="50">
                  <c:v>900.0</c:v>
                </c:pt>
                <c:pt idx="51">
                  <c:v>900.0</c:v>
                </c:pt>
                <c:pt idx="52">
                  <c:v>900.0</c:v>
                </c:pt>
                <c:pt idx="53">
                  <c:v>900.0</c:v>
                </c:pt>
                <c:pt idx="54">
                  <c:v>900.0</c:v>
                </c:pt>
                <c:pt idx="55">
                  <c:v>900.0</c:v>
                </c:pt>
                <c:pt idx="56">
                  <c:v>900.0</c:v>
                </c:pt>
                <c:pt idx="57">
                  <c:v>900.0</c:v>
                </c:pt>
                <c:pt idx="61">
                  <c:v>900.0</c:v>
                </c:pt>
                <c:pt idx="62">
                  <c:v>900.0</c:v>
                </c:pt>
                <c:pt idx="63">
                  <c:v>900.0</c:v>
                </c:pt>
                <c:pt idx="64">
                  <c:v>900.0</c:v>
                </c:pt>
                <c:pt idx="65">
                  <c:v>900.0</c:v>
                </c:pt>
              </c:numCache>
            </c:numRef>
          </c:val>
        </c:ser>
        <c:dLbls>
          <c:showLegendKey val="0"/>
          <c:showVal val="0"/>
          <c:showCatName val="0"/>
          <c:showSerName val="0"/>
          <c:showPercent val="0"/>
          <c:showBubbleSize val="0"/>
        </c:dLbls>
        <c:gapWidth val="0"/>
        <c:overlap val="60"/>
        <c:axId val="-2126242392"/>
        <c:axId val="-2126238664"/>
      </c:barChart>
      <c:lineChart>
        <c:grouping val="standard"/>
        <c:varyColors val="0"/>
        <c:ser>
          <c:idx val="0"/>
          <c:order val="0"/>
          <c:tx>
            <c:strRef>
              <c:f>Hoja7!$B$1</c:f>
              <c:strCache>
                <c:ptCount val="1"/>
                <c:pt idx="0">
                  <c:v>Tendencia Hodrick-Prescott (lamda=1)</c:v>
                </c:pt>
              </c:strCache>
            </c:strRef>
          </c:tx>
          <c:spPr>
            <a:ln w="15875" cap="rnd">
              <a:solidFill>
                <a:schemeClr val="accent1"/>
              </a:solidFill>
              <a:prstDash val="solid"/>
              <a:round/>
            </a:ln>
            <a:effectLst/>
          </c:spPr>
          <c:marker>
            <c:symbol val="none"/>
          </c:marker>
          <c:dPt>
            <c:idx val="0"/>
            <c:marker>
              <c:symbol val="circle"/>
              <c:size val="7"/>
              <c:spPr>
                <a:solidFill>
                  <a:schemeClr val="tx1"/>
                </a:solidFill>
                <a:ln w="9525">
                  <a:solidFill>
                    <a:schemeClr val="tx1"/>
                  </a:solidFill>
                </a:ln>
                <a:effectLst/>
              </c:spPr>
            </c:marker>
            <c:bubble3D val="0"/>
          </c:dPt>
          <c:dPt>
            <c:idx val="3"/>
            <c:marker>
              <c:symbol val="circle"/>
              <c:size val="7"/>
              <c:spPr>
                <a:solidFill>
                  <a:schemeClr val="bg1"/>
                </a:solidFill>
                <a:ln w="9525">
                  <a:solidFill>
                    <a:schemeClr val="tx1"/>
                  </a:solidFill>
                </a:ln>
                <a:effectLst/>
              </c:spPr>
            </c:marker>
            <c:bubble3D val="0"/>
          </c:dPt>
          <c:dPt>
            <c:idx val="6"/>
            <c:marker>
              <c:symbol val="circle"/>
              <c:size val="7"/>
              <c:spPr>
                <a:solidFill>
                  <a:schemeClr val="tx1"/>
                </a:solidFill>
                <a:ln w="9525">
                  <a:solidFill>
                    <a:schemeClr val="tx1"/>
                  </a:solidFill>
                </a:ln>
                <a:effectLst/>
              </c:spPr>
            </c:marker>
            <c:bubble3D val="0"/>
          </c:dPt>
          <c:dPt>
            <c:idx val="9"/>
            <c:marker>
              <c:symbol val="circle"/>
              <c:size val="7"/>
              <c:spPr>
                <a:solidFill>
                  <a:schemeClr val="bg1"/>
                </a:solidFill>
                <a:ln w="9525">
                  <a:solidFill>
                    <a:schemeClr val="tx1"/>
                  </a:solidFill>
                </a:ln>
                <a:effectLst/>
              </c:spPr>
            </c:marker>
            <c:bubble3D val="0"/>
          </c:dPt>
          <c:dPt>
            <c:idx val="11"/>
            <c:marker>
              <c:symbol val="circle"/>
              <c:size val="7"/>
              <c:spPr>
                <a:solidFill>
                  <a:schemeClr val="tx1"/>
                </a:solidFill>
                <a:ln w="9525">
                  <a:solidFill>
                    <a:schemeClr val="tx1"/>
                  </a:solidFill>
                </a:ln>
                <a:effectLst/>
              </c:spPr>
            </c:marker>
            <c:bubble3D val="0"/>
          </c:dPt>
          <c:dPt>
            <c:idx val="14"/>
            <c:marker>
              <c:symbol val="circle"/>
              <c:size val="7"/>
              <c:spPr>
                <a:solidFill>
                  <a:schemeClr val="bg1"/>
                </a:solidFill>
                <a:ln w="9525">
                  <a:solidFill>
                    <a:schemeClr val="tx1"/>
                  </a:solidFill>
                </a:ln>
                <a:effectLst/>
              </c:spPr>
            </c:marker>
            <c:bubble3D val="0"/>
          </c:dPt>
          <c:dPt>
            <c:idx val="18"/>
            <c:marker>
              <c:symbol val="circle"/>
              <c:size val="7"/>
              <c:spPr>
                <a:solidFill>
                  <a:schemeClr val="tx1"/>
                </a:solidFill>
                <a:ln w="9525">
                  <a:solidFill>
                    <a:schemeClr val="tx1"/>
                  </a:solidFill>
                </a:ln>
                <a:effectLst/>
              </c:spPr>
            </c:marker>
            <c:bubble3D val="0"/>
          </c:dPt>
          <c:dPt>
            <c:idx val="24"/>
            <c:marker>
              <c:symbol val="circle"/>
              <c:size val="7"/>
              <c:spPr>
                <a:solidFill>
                  <a:schemeClr val="bg1"/>
                </a:solidFill>
                <a:ln w="9525">
                  <a:solidFill>
                    <a:schemeClr val="tx1"/>
                  </a:solidFill>
                </a:ln>
                <a:effectLst/>
              </c:spPr>
            </c:marker>
            <c:bubble3D val="0"/>
          </c:dPt>
          <c:dPt>
            <c:idx val="30"/>
            <c:marker>
              <c:symbol val="circle"/>
              <c:size val="7"/>
              <c:spPr>
                <a:solidFill>
                  <a:schemeClr val="tx1"/>
                </a:solidFill>
                <a:ln w="9525">
                  <a:solidFill>
                    <a:schemeClr val="tx1"/>
                  </a:solidFill>
                </a:ln>
                <a:effectLst/>
              </c:spPr>
            </c:marker>
            <c:bubble3D val="0"/>
          </c:dPt>
          <c:dPt>
            <c:idx val="36"/>
            <c:marker>
              <c:symbol val="circle"/>
              <c:size val="7"/>
              <c:spPr>
                <a:solidFill>
                  <a:schemeClr val="bg1"/>
                </a:solidFill>
                <a:ln w="9525">
                  <a:solidFill>
                    <a:schemeClr val="tx1"/>
                  </a:solidFill>
                </a:ln>
                <a:effectLst/>
              </c:spPr>
            </c:marker>
            <c:bubble3D val="0"/>
          </c:dPt>
          <c:dPt>
            <c:idx val="40"/>
            <c:marker>
              <c:symbol val="circle"/>
              <c:size val="7"/>
              <c:spPr>
                <a:solidFill>
                  <a:schemeClr val="tx1"/>
                </a:solidFill>
                <a:ln w="9525">
                  <a:solidFill>
                    <a:schemeClr val="tx1"/>
                  </a:solidFill>
                </a:ln>
                <a:effectLst/>
              </c:spPr>
            </c:marker>
            <c:bubble3D val="0"/>
          </c:dPt>
          <c:dPt>
            <c:idx val="50"/>
            <c:marker>
              <c:symbol val="circle"/>
              <c:size val="7"/>
              <c:spPr>
                <a:solidFill>
                  <a:schemeClr val="bg1"/>
                </a:solidFill>
                <a:ln w="9525">
                  <a:solidFill>
                    <a:schemeClr val="tx1"/>
                  </a:solidFill>
                </a:ln>
                <a:effectLst/>
              </c:spPr>
            </c:marker>
            <c:bubble3D val="0"/>
          </c:dPt>
          <c:dPt>
            <c:idx val="57"/>
            <c:marker>
              <c:symbol val="circle"/>
              <c:size val="7"/>
              <c:spPr>
                <a:solidFill>
                  <a:schemeClr val="tx1"/>
                </a:solidFill>
                <a:ln w="9525">
                  <a:solidFill>
                    <a:schemeClr val="tx1"/>
                  </a:solidFill>
                </a:ln>
                <a:effectLst/>
              </c:spPr>
            </c:marker>
            <c:bubble3D val="0"/>
          </c:dPt>
          <c:dPt>
            <c:idx val="61"/>
            <c:marker>
              <c:symbol val="circle"/>
              <c:size val="7"/>
              <c:spPr>
                <a:solidFill>
                  <a:schemeClr val="bg1"/>
                </a:solidFill>
                <a:ln w="9525">
                  <a:solidFill>
                    <a:schemeClr val="tx1"/>
                  </a:solidFill>
                </a:ln>
                <a:effectLst/>
              </c:spPr>
            </c:marker>
            <c:bubble3D val="0"/>
          </c:dPt>
          <c:dPt>
            <c:idx val="65"/>
            <c:marker>
              <c:symbol val="circle"/>
              <c:size val="7"/>
              <c:spPr>
                <a:solidFill>
                  <a:schemeClr val="tx1"/>
                </a:solidFill>
                <a:ln w="9525">
                  <a:solidFill>
                    <a:schemeClr val="tx1"/>
                  </a:solidFill>
                </a:ln>
                <a:effectLst/>
              </c:spPr>
            </c:marker>
            <c:bubble3D val="0"/>
          </c:dPt>
          <c:cat>
            <c:numRef>
              <c:f>Hoja7!$A$2:$A$67</c:f>
              <c:numCache>
                <c:formatCode>General</c:formatCode>
                <c:ptCount val="66"/>
                <c:pt idx="0">
                  <c:v>1954.0</c:v>
                </c:pt>
                <c:pt idx="1">
                  <c:v>1955.0</c:v>
                </c:pt>
                <c:pt idx="2">
                  <c:v>1956.0</c:v>
                </c:pt>
                <c:pt idx="3">
                  <c:v>1957.0</c:v>
                </c:pt>
                <c:pt idx="4">
                  <c:v>1958.0</c:v>
                </c:pt>
                <c:pt idx="5">
                  <c:v>1959.0</c:v>
                </c:pt>
                <c:pt idx="6">
                  <c:v>1960.0</c:v>
                </c:pt>
                <c:pt idx="7">
                  <c:v>1961.0</c:v>
                </c:pt>
                <c:pt idx="8">
                  <c:v>1962.0</c:v>
                </c:pt>
                <c:pt idx="9">
                  <c:v>1963.0</c:v>
                </c:pt>
                <c:pt idx="10">
                  <c:v>1964.0</c:v>
                </c:pt>
                <c:pt idx="11">
                  <c:v>1965.0</c:v>
                </c:pt>
                <c:pt idx="12">
                  <c:v>1966.0</c:v>
                </c:pt>
                <c:pt idx="13">
                  <c:v>1967.0</c:v>
                </c:pt>
                <c:pt idx="14">
                  <c:v>1968.0</c:v>
                </c:pt>
                <c:pt idx="15">
                  <c:v>1969.0</c:v>
                </c:pt>
                <c:pt idx="16">
                  <c:v>1970.0</c:v>
                </c:pt>
                <c:pt idx="17">
                  <c:v>1971.0</c:v>
                </c:pt>
                <c:pt idx="18">
                  <c:v>1972.0</c:v>
                </c:pt>
                <c:pt idx="19">
                  <c:v>1973.0</c:v>
                </c:pt>
                <c:pt idx="20">
                  <c:v>1974.0</c:v>
                </c:pt>
                <c:pt idx="21">
                  <c:v>1975.0</c:v>
                </c:pt>
                <c:pt idx="22">
                  <c:v>1976.0</c:v>
                </c:pt>
                <c:pt idx="23">
                  <c:v>1977.0</c:v>
                </c:pt>
                <c:pt idx="24">
                  <c:v>1978.0</c:v>
                </c:pt>
                <c:pt idx="25">
                  <c:v>1979.0</c:v>
                </c:pt>
                <c:pt idx="26">
                  <c:v>1980.0</c:v>
                </c:pt>
                <c:pt idx="27">
                  <c:v>1981.0</c:v>
                </c:pt>
                <c:pt idx="28">
                  <c:v>1982.0</c:v>
                </c:pt>
                <c:pt idx="29">
                  <c:v>1983.0</c:v>
                </c:pt>
                <c:pt idx="30">
                  <c:v>1984.0</c:v>
                </c:pt>
                <c:pt idx="31">
                  <c:v>1985.0</c:v>
                </c:pt>
                <c:pt idx="32">
                  <c:v>1986.0</c:v>
                </c:pt>
                <c:pt idx="33">
                  <c:v>1987.0</c:v>
                </c:pt>
                <c:pt idx="34">
                  <c:v>1988.0</c:v>
                </c:pt>
                <c:pt idx="35">
                  <c:v>1989.0</c:v>
                </c:pt>
                <c:pt idx="36">
                  <c:v>1990.0</c:v>
                </c:pt>
                <c:pt idx="37">
                  <c:v>1991.0</c:v>
                </c:pt>
                <c:pt idx="38">
                  <c:v>1992.0</c:v>
                </c:pt>
                <c:pt idx="39">
                  <c:v>1993.0</c:v>
                </c:pt>
                <c:pt idx="40">
                  <c:v>1994.0</c:v>
                </c:pt>
                <c:pt idx="41">
                  <c:v>1995.0</c:v>
                </c:pt>
                <c:pt idx="42">
                  <c:v>1996.0</c:v>
                </c:pt>
                <c:pt idx="43">
                  <c:v>1997.0</c:v>
                </c:pt>
                <c:pt idx="44">
                  <c:v>1998.0</c:v>
                </c:pt>
                <c:pt idx="45">
                  <c:v>1999.0</c:v>
                </c:pt>
                <c:pt idx="46">
                  <c:v>2000.0</c:v>
                </c:pt>
                <c:pt idx="47">
                  <c:v>2001.0</c:v>
                </c:pt>
                <c:pt idx="48">
                  <c:v>2002.0</c:v>
                </c:pt>
                <c:pt idx="49">
                  <c:v>2003.0</c:v>
                </c:pt>
                <c:pt idx="50">
                  <c:v>2004.0</c:v>
                </c:pt>
                <c:pt idx="51">
                  <c:v>2005.0</c:v>
                </c:pt>
                <c:pt idx="52">
                  <c:v>2006.0</c:v>
                </c:pt>
                <c:pt idx="53">
                  <c:v>2007.0</c:v>
                </c:pt>
                <c:pt idx="54">
                  <c:v>2008.0</c:v>
                </c:pt>
                <c:pt idx="55">
                  <c:v>2009.0</c:v>
                </c:pt>
                <c:pt idx="56">
                  <c:v>2010.0</c:v>
                </c:pt>
                <c:pt idx="57">
                  <c:v>2011.0</c:v>
                </c:pt>
                <c:pt idx="58">
                  <c:v>2012.0</c:v>
                </c:pt>
                <c:pt idx="59">
                  <c:v>2013.0</c:v>
                </c:pt>
                <c:pt idx="60">
                  <c:v>2014.0</c:v>
                </c:pt>
                <c:pt idx="61">
                  <c:v>2015.0</c:v>
                </c:pt>
                <c:pt idx="62">
                  <c:v>2016.0</c:v>
                </c:pt>
                <c:pt idx="63">
                  <c:v>2017.0</c:v>
                </c:pt>
                <c:pt idx="64">
                  <c:v>2018.0</c:v>
                </c:pt>
                <c:pt idx="65">
                  <c:v>2019.0</c:v>
                </c:pt>
              </c:numCache>
            </c:numRef>
          </c:cat>
          <c:val>
            <c:numRef>
              <c:f>Hoja7!$B$2:$B$67</c:f>
              <c:numCache>
                <c:formatCode>General</c:formatCode>
                <c:ptCount val="66"/>
                <c:pt idx="0">
                  <c:v>526.2188</c:v>
                </c:pt>
                <c:pt idx="1">
                  <c:v>511.5962999999999</c:v>
                </c:pt>
                <c:pt idx="2">
                  <c:v>424.7549</c:v>
                </c:pt>
                <c:pt idx="3">
                  <c:v>404.8795999999999</c:v>
                </c:pt>
                <c:pt idx="4">
                  <c:v>417.4006</c:v>
                </c:pt>
                <c:pt idx="5">
                  <c:v>436.8681</c:v>
                </c:pt>
                <c:pt idx="6">
                  <c:v>514.4320999999999</c:v>
                </c:pt>
                <c:pt idx="7">
                  <c:v>483.3741999999999</c:v>
                </c:pt>
                <c:pt idx="8">
                  <c:v>432.5439</c:v>
                </c:pt>
                <c:pt idx="9">
                  <c:v>423.4166999999999</c:v>
                </c:pt>
                <c:pt idx="10">
                  <c:v>454.9238999999999</c:v>
                </c:pt>
                <c:pt idx="11">
                  <c:v>534.5802</c:v>
                </c:pt>
                <c:pt idx="12">
                  <c:v>500.9766</c:v>
                </c:pt>
                <c:pt idx="13">
                  <c:v>420.1236</c:v>
                </c:pt>
                <c:pt idx="14">
                  <c:v>402.0550999999999</c:v>
                </c:pt>
                <c:pt idx="15">
                  <c:v>424.6816</c:v>
                </c:pt>
                <c:pt idx="16">
                  <c:v>468.8584</c:v>
                </c:pt>
                <c:pt idx="17">
                  <c:v>528.7591</c:v>
                </c:pt>
                <c:pt idx="18">
                  <c:v>599.699</c:v>
                </c:pt>
                <c:pt idx="19">
                  <c:v>567.2343</c:v>
                </c:pt>
                <c:pt idx="20">
                  <c:v>560.222</c:v>
                </c:pt>
                <c:pt idx="21">
                  <c:v>531.285</c:v>
                </c:pt>
                <c:pt idx="22">
                  <c:v>452.824</c:v>
                </c:pt>
                <c:pt idx="23">
                  <c:v>365.9547999999999</c:v>
                </c:pt>
                <c:pt idx="24">
                  <c:v>328.9692999999999</c:v>
                </c:pt>
                <c:pt idx="25">
                  <c:v>361.2045</c:v>
                </c:pt>
                <c:pt idx="26">
                  <c:v>426.0280999999999</c:v>
                </c:pt>
                <c:pt idx="27">
                  <c:v>462.6035999999999</c:v>
                </c:pt>
                <c:pt idx="28">
                  <c:v>559.0659000000001</c:v>
                </c:pt>
                <c:pt idx="29">
                  <c:v>630.9468999999999</c:v>
                </c:pt>
                <c:pt idx="30">
                  <c:v>633.712</c:v>
                </c:pt>
                <c:pt idx="31">
                  <c:v>604.8801</c:v>
                </c:pt>
                <c:pt idx="32">
                  <c:v>534.2581</c:v>
                </c:pt>
                <c:pt idx="33">
                  <c:v>486.7726</c:v>
                </c:pt>
                <c:pt idx="34">
                  <c:v>421.0924999999999</c:v>
                </c:pt>
                <c:pt idx="35">
                  <c:v>336.1138000000001</c:v>
                </c:pt>
                <c:pt idx="36">
                  <c:v>264.6399</c:v>
                </c:pt>
                <c:pt idx="37">
                  <c:v>318.3607999999999</c:v>
                </c:pt>
                <c:pt idx="38">
                  <c:v>481.3261999999999</c:v>
                </c:pt>
                <c:pt idx="39">
                  <c:v>703.2252</c:v>
                </c:pt>
                <c:pt idx="40">
                  <c:v>835.4205999999999</c:v>
                </c:pt>
                <c:pt idx="41">
                  <c:v>788.05</c:v>
                </c:pt>
                <c:pt idx="42">
                  <c:v>700.8303999999999</c:v>
                </c:pt>
                <c:pt idx="43">
                  <c:v>628.4289</c:v>
                </c:pt>
                <c:pt idx="44">
                  <c:v>525.6822</c:v>
                </c:pt>
                <c:pt idx="45">
                  <c:v>467.9977</c:v>
                </c:pt>
                <c:pt idx="46">
                  <c:v>436.1010999999999</c:v>
                </c:pt>
                <c:pt idx="47">
                  <c:v>433.7201999999999</c:v>
                </c:pt>
                <c:pt idx="48">
                  <c:v>326.4816999999999</c:v>
                </c:pt>
                <c:pt idx="49">
                  <c:v>244.2918</c:v>
                </c:pt>
                <c:pt idx="50">
                  <c:v>235.5754</c:v>
                </c:pt>
                <c:pt idx="51">
                  <c:v>267.4653999999999</c:v>
                </c:pt>
                <c:pt idx="52">
                  <c:v>286.5192</c:v>
                </c:pt>
                <c:pt idx="53">
                  <c:v>277.8290999999999</c:v>
                </c:pt>
                <c:pt idx="54">
                  <c:v>337.9679</c:v>
                </c:pt>
                <c:pt idx="55">
                  <c:v>432.6796</c:v>
                </c:pt>
                <c:pt idx="56">
                  <c:v>505.7400999999999</c:v>
                </c:pt>
                <c:pt idx="57">
                  <c:v>508.2455</c:v>
                </c:pt>
                <c:pt idx="58">
                  <c:v>483.5523</c:v>
                </c:pt>
                <c:pt idx="59">
                  <c:v>488.7710999999999</c:v>
                </c:pt>
                <c:pt idx="60">
                  <c:v>462.4603</c:v>
                </c:pt>
                <c:pt idx="61">
                  <c:v>433.4073</c:v>
                </c:pt>
                <c:pt idx="62">
                  <c:v>454.939</c:v>
                </c:pt>
                <c:pt idx="63">
                  <c:v>537.9751</c:v>
                </c:pt>
                <c:pt idx="64">
                  <c:v>684.4965999999998</c:v>
                </c:pt>
                <c:pt idx="65">
                  <c:v>875.509</c:v>
                </c:pt>
              </c:numCache>
            </c:numRef>
          </c:val>
          <c:smooth val="0"/>
        </c:ser>
        <c:dLbls>
          <c:showLegendKey val="0"/>
          <c:showVal val="0"/>
          <c:showCatName val="0"/>
          <c:showSerName val="0"/>
          <c:showPercent val="0"/>
          <c:showBubbleSize val="0"/>
        </c:dLbls>
        <c:marker val="1"/>
        <c:smooth val="0"/>
        <c:axId val="-2126242392"/>
        <c:axId val="-2126238664"/>
      </c:lineChart>
      <c:catAx>
        <c:axId val="-2126242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26238664"/>
        <c:crosses val="autoZero"/>
        <c:auto val="1"/>
        <c:lblAlgn val="ctr"/>
        <c:lblOffset val="100"/>
        <c:noMultiLvlLbl val="0"/>
      </c:catAx>
      <c:valAx>
        <c:axId val="-2126238664"/>
        <c:scaling>
          <c:orientation val="minMax"/>
          <c:max val="900.0"/>
          <c:min val="200.0"/>
        </c:scaling>
        <c:delete val="0"/>
        <c:axPos val="l"/>
        <c:majorGridlines>
          <c:spPr>
            <a:ln w="9525" cap="flat" cmpd="sng" algn="ctr">
              <a:solidFill>
                <a:schemeClr val="tx1">
                  <a:lumMod val="15000"/>
                  <a:lumOff val="85000"/>
                </a:schemeClr>
              </a:solidFill>
              <a:prstDash val="sys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26242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667415809325362"/>
          <c:y val="0.0387202699161161"/>
          <c:w val="0.914586636976403"/>
          <c:h val="0.738502144314126"/>
        </c:manualLayout>
      </c:layout>
      <c:lineChart>
        <c:grouping val="standard"/>
        <c:varyColors val="0"/>
        <c:ser>
          <c:idx val="0"/>
          <c:order val="0"/>
          <c:tx>
            <c:strRef>
              <c:f>[rios.xlsx]Hoja3!$C$1</c:f>
              <c:strCache>
                <c:ptCount val="1"/>
                <c:pt idx="0">
                  <c:v>Tendencia Nivel del Río Paraguay Estación Bermejo</c:v>
                </c:pt>
              </c:strCache>
            </c:strRef>
          </c:tx>
          <c:spPr>
            <a:ln w="38100">
              <a:solidFill>
                <a:srgbClr val="00B0F0"/>
              </a:solidFill>
            </a:ln>
          </c:spPr>
          <c:marker>
            <c:symbol val="none"/>
          </c:marker>
          <c:cat>
            <c:multiLvlStrRef>
              <c:f>[rios.xlsx]Hoja3!$A$2:$B$77</c:f>
              <c:multiLvlStrCache>
                <c:ptCount val="7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pt idx="56">
                    <c:v>I</c:v>
                  </c:pt>
                  <c:pt idx="57">
                    <c:v>II</c:v>
                  </c:pt>
                  <c:pt idx="58">
                    <c:v>III</c:v>
                  </c:pt>
                  <c:pt idx="59">
                    <c:v>IV</c:v>
                  </c:pt>
                  <c:pt idx="60">
                    <c:v>I</c:v>
                  </c:pt>
                  <c:pt idx="61">
                    <c:v>II</c:v>
                  </c:pt>
                  <c:pt idx="62">
                    <c:v>III</c:v>
                  </c:pt>
                  <c:pt idx="63">
                    <c:v>IV</c:v>
                  </c:pt>
                  <c:pt idx="64">
                    <c:v>I</c:v>
                  </c:pt>
                  <c:pt idx="65">
                    <c:v>II</c:v>
                  </c:pt>
                  <c:pt idx="66">
                    <c:v>III</c:v>
                  </c:pt>
                  <c:pt idx="67">
                    <c:v>IV</c:v>
                  </c:pt>
                  <c:pt idx="68">
                    <c:v>I</c:v>
                  </c:pt>
                  <c:pt idx="69">
                    <c:v>II</c:v>
                  </c:pt>
                  <c:pt idx="70">
                    <c:v>III</c:v>
                  </c:pt>
                  <c:pt idx="71">
                    <c:v>IV</c:v>
                  </c:pt>
                  <c:pt idx="72">
                    <c:v>I</c:v>
                  </c:pt>
                  <c:pt idx="73">
                    <c:v>II</c:v>
                  </c:pt>
                  <c:pt idx="74">
                    <c:v>III</c:v>
                  </c:pt>
                  <c:pt idx="75">
                    <c:v>IV</c:v>
                  </c:pt>
                </c:lvl>
                <c:lvl>
                  <c:pt idx="0">
                    <c:v>2000</c:v>
                  </c:pt>
                  <c:pt idx="4">
                    <c:v>2001</c:v>
                  </c:pt>
                  <c:pt idx="8">
                    <c:v>2002</c:v>
                  </c:pt>
                  <c:pt idx="12">
                    <c:v>2003</c:v>
                  </c:pt>
                  <c:pt idx="16">
                    <c:v>2004</c:v>
                  </c:pt>
                  <c:pt idx="20">
                    <c:v>2005</c:v>
                  </c:pt>
                  <c:pt idx="24">
                    <c:v>2006</c:v>
                  </c:pt>
                  <c:pt idx="28">
                    <c:v>2007</c:v>
                  </c:pt>
                  <c:pt idx="32">
                    <c:v>2008</c:v>
                  </c:pt>
                  <c:pt idx="36">
                    <c:v>2009</c:v>
                  </c:pt>
                  <c:pt idx="40">
                    <c:v>2010</c:v>
                  </c:pt>
                  <c:pt idx="44">
                    <c:v>2011</c:v>
                  </c:pt>
                  <c:pt idx="48">
                    <c:v>2012</c:v>
                  </c:pt>
                  <c:pt idx="52">
                    <c:v>2013</c:v>
                  </c:pt>
                  <c:pt idx="56">
                    <c:v>2014</c:v>
                  </c:pt>
                  <c:pt idx="60">
                    <c:v>2015</c:v>
                  </c:pt>
                  <c:pt idx="64">
                    <c:v>2016</c:v>
                  </c:pt>
                  <c:pt idx="68">
                    <c:v>2017</c:v>
                  </c:pt>
                  <c:pt idx="72">
                    <c:v>2018</c:v>
                  </c:pt>
                </c:lvl>
              </c:multiLvlStrCache>
            </c:multiLvlStrRef>
          </c:cat>
          <c:val>
            <c:numRef>
              <c:f>[rios.xlsx]Hoja3!$C$2:$C$77</c:f>
              <c:numCache>
                <c:formatCode>General</c:formatCode>
                <c:ptCount val="76"/>
                <c:pt idx="0">
                  <c:v>3.14997</c:v>
                </c:pt>
                <c:pt idx="1">
                  <c:v>3.300748</c:v>
                </c:pt>
                <c:pt idx="2">
                  <c:v>3.430326</c:v>
                </c:pt>
                <c:pt idx="3">
                  <c:v>3.526289999999999</c:v>
                </c:pt>
                <c:pt idx="4">
                  <c:v>3.58522</c:v>
                </c:pt>
                <c:pt idx="5">
                  <c:v>3.608769</c:v>
                </c:pt>
                <c:pt idx="6">
                  <c:v>3.616884999999999</c:v>
                </c:pt>
                <c:pt idx="7">
                  <c:v>3.635542</c:v>
                </c:pt>
                <c:pt idx="8">
                  <c:v>3.664842999999999</c:v>
                </c:pt>
                <c:pt idx="9">
                  <c:v>3.68318</c:v>
                </c:pt>
                <c:pt idx="10">
                  <c:v>3.676646999999999</c:v>
                </c:pt>
                <c:pt idx="11">
                  <c:v>3.651540999999999</c:v>
                </c:pt>
                <c:pt idx="12">
                  <c:v>3.619428999999999</c:v>
                </c:pt>
                <c:pt idx="13">
                  <c:v>3.583644</c:v>
                </c:pt>
                <c:pt idx="14">
                  <c:v>3.558864999999999</c:v>
                </c:pt>
                <c:pt idx="15">
                  <c:v>3.552897</c:v>
                </c:pt>
                <c:pt idx="16">
                  <c:v>3.561837</c:v>
                </c:pt>
                <c:pt idx="17">
                  <c:v>3.581122</c:v>
                </c:pt>
                <c:pt idx="18">
                  <c:v>3.605553</c:v>
                </c:pt>
                <c:pt idx="19">
                  <c:v>3.625773</c:v>
                </c:pt>
                <c:pt idx="20">
                  <c:v>3.631918</c:v>
                </c:pt>
                <c:pt idx="21">
                  <c:v>3.630606</c:v>
                </c:pt>
                <c:pt idx="22">
                  <c:v>3.637348999999999</c:v>
                </c:pt>
                <c:pt idx="23">
                  <c:v>3.66825</c:v>
                </c:pt>
                <c:pt idx="24">
                  <c:v>3.719795</c:v>
                </c:pt>
                <c:pt idx="25">
                  <c:v>3.786440999999999</c:v>
                </c:pt>
                <c:pt idx="26">
                  <c:v>3.855181</c:v>
                </c:pt>
                <c:pt idx="27">
                  <c:v>3.908678999999999</c:v>
                </c:pt>
                <c:pt idx="28">
                  <c:v>3.915296999999999</c:v>
                </c:pt>
                <c:pt idx="29">
                  <c:v>3.851354999999999</c:v>
                </c:pt>
                <c:pt idx="30">
                  <c:v>3.729001</c:v>
                </c:pt>
                <c:pt idx="31">
                  <c:v>3.585022</c:v>
                </c:pt>
                <c:pt idx="32">
                  <c:v>3.448827</c:v>
                </c:pt>
                <c:pt idx="33">
                  <c:v>3.327388</c:v>
                </c:pt>
                <c:pt idx="34">
                  <c:v>3.233971</c:v>
                </c:pt>
                <c:pt idx="35">
                  <c:v>3.188957</c:v>
                </c:pt>
                <c:pt idx="36">
                  <c:v>3.208184</c:v>
                </c:pt>
                <c:pt idx="37">
                  <c:v>3.298575</c:v>
                </c:pt>
                <c:pt idx="38">
                  <c:v>3.447892</c:v>
                </c:pt>
                <c:pt idx="39">
                  <c:v>3.619524</c:v>
                </c:pt>
                <c:pt idx="40">
                  <c:v>3.773035</c:v>
                </c:pt>
                <c:pt idx="41">
                  <c:v>3.881999</c:v>
                </c:pt>
                <c:pt idx="42">
                  <c:v>3.950863</c:v>
                </c:pt>
                <c:pt idx="43">
                  <c:v>3.999501</c:v>
                </c:pt>
                <c:pt idx="44">
                  <c:v>4.033368</c:v>
                </c:pt>
                <c:pt idx="45">
                  <c:v>4.033465</c:v>
                </c:pt>
                <c:pt idx="46">
                  <c:v>3.98579</c:v>
                </c:pt>
                <c:pt idx="47">
                  <c:v>3.890139</c:v>
                </c:pt>
                <c:pt idx="48">
                  <c:v>3.774793</c:v>
                </c:pt>
                <c:pt idx="49">
                  <c:v>3.671828999999999</c:v>
                </c:pt>
                <c:pt idx="50">
                  <c:v>3.586228999999999</c:v>
                </c:pt>
                <c:pt idx="51">
                  <c:v>3.538939</c:v>
                </c:pt>
                <c:pt idx="52">
                  <c:v>3.552312</c:v>
                </c:pt>
                <c:pt idx="53">
                  <c:v>3.621723</c:v>
                </c:pt>
                <c:pt idx="54">
                  <c:v>3.721302</c:v>
                </c:pt>
                <c:pt idx="55">
                  <c:v>3.838743</c:v>
                </c:pt>
                <c:pt idx="56">
                  <c:v>3.975979999999999</c:v>
                </c:pt>
                <c:pt idx="57">
                  <c:v>4.114974999999998</c:v>
                </c:pt>
                <c:pt idx="58">
                  <c:v>4.220634999999999</c:v>
                </c:pt>
                <c:pt idx="59">
                  <c:v>4.289434</c:v>
                </c:pt>
                <c:pt idx="60">
                  <c:v>4.350366</c:v>
                </c:pt>
                <c:pt idx="61">
                  <c:v>4.40344</c:v>
                </c:pt>
                <c:pt idx="62">
                  <c:v>4.442453</c:v>
                </c:pt>
                <c:pt idx="63">
                  <c:v>4.477069</c:v>
                </c:pt>
                <c:pt idx="64">
                  <c:v>4.52977</c:v>
                </c:pt>
                <c:pt idx="65">
                  <c:v>4.598429</c:v>
                </c:pt>
                <c:pt idx="66">
                  <c:v>4.671923</c:v>
                </c:pt>
                <c:pt idx="67">
                  <c:v>4.763029</c:v>
                </c:pt>
                <c:pt idx="68">
                  <c:v>4.885583999999999</c:v>
                </c:pt>
                <c:pt idx="69">
                  <c:v>5.026097</c:v>
                </c:pt>
                <c:pt idx="70">
                  <c:v>5.140302</c:v>
                </c:pt>
                <c:pt idx="71">
                  <c:v>5.194740999999999</c:v>
                </c:pt>
                <c:pt idx="72">
                  <c:v>5.175951</c:v>
                </c:pt>
                <c:pt idx="73">
                  <c:v>5.089375</c:v>
                </c:pt>
                <c:pt idx="74">
                  <c:v>4.965711999999999</c:v>
                </c:pt>
                <c:pt idx="75">
                  <c:v>4.854556999999998</c:v>
                </c:pt>
              </c:numCache>
            </c:numRef>
          </c:val>
          <c:smooth val="0"/>
        </c:ser>
        <c:ser>
          <c:idx val="1"/>
          <c:order val="1"/>
          <c:tx>
            <c:strRef>
              <c:f>[rios.xlsx]Hoja3!$D$1</c:f>
              <c:strCache>
                <c:ptCount val="1"/>
                <c:pt idx="0">
                  <c:v>Tendencia Nivel del Río Parana Estación Barranqueras</c:v>
                </c:pt>
              </c:strCache>
            </c:strRef>
          </c:tx>
          <c:spPr>
            <a:ln w="38100">
              <a:solidFill>
                <a:schemeClr val="tx2">
                  <a:lumMod val="50000"/>
                </a:schemeClr>
              </a:solidFill>
            </a:ln>
          </c:spPr>
          <c:marker>
            <c:symbol val="none"/>
          </c:marker>
          <c:cat>
            <c:multiLvlStrRef>
              <c:f>[rios.xlsx]Hoja3!$A$2:$B$77</c:f>
              <c:multiLvlStrCache>
                <c:ptCount val="7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pt idx="56">
                    <c:v>I</c:v>
                  </c:pt>
                  <c:pt idx="57">
                    <c:v>II</c:v>
                  </c:pt>
                  <c:pt idx="58">
                    <c:v>III</c:v>
                  </c:pt>
                  <c:pt idx="59">
                    <c:v>IV</c:v>
                  </c:pt>
                  <c:pt idx="60">
                    <c:v>I</c:v>
                  </c:pt>
                  <c:pt idx="61">
                    <c:v>II</c:v>
                  </c:pt>
                  <c:pt idx="62">
                    <c:v>III</c:v>
                  </c:pt>
                  <c:pt idx="63">
                    <c:v>IV</c:v>
                  </c:pt>
                  <c:pt idx="64">
                    <c:v>I</c:v>
                  </c:pt>
                  <c:pt idx="65">
                    <c:v>II</c:v>
                  </c:pt>
                  <c:pt idx="66">
                    <c:v>III</c:v>
                  </c:pt>
                  <c:pt idx="67">
                    <c:v>IV</c:v>
                  </c:pt>
                  <c:pt idx="68">
                    <c:v>I</c:v>
                  </c:pt>
                  <c:pt idx="69">
                    <c:v>II</c:v>
                  </c:pt>
                  <c:pt idx="70">
                    <c:v>III</c:v>
                  </c:pt>
                  <c:pt idx="71">
                    <c:v>IV</c:v>
                  </c:pt>
                  <c:pt idx="72">
                    <c:v>I</c:v>
                  </c:pt>
                  <c:pt idx="73">
                    <c:v>II</c:v>
                  </c:pt>
                  <c:pt idx="74">
                    <c:v>III</c:v>
                  </c:pt>
                  <c:pt idx="75">
                    <c:v>IV</c:v>
                  </c:pt>
                </c:lvl>
                <c:lvl>
                  <c:pt idx="0">
                    <c:v>2000</c:v>
                  </c:pt>
                  <c:pt idx="4">
                    <c:v>2001</c:v>
                  </c:pt>
                  <c:pt idx="8">
                    <c:v>2002</c:v>
                  </c:pt>
                  <c:pt idx="12">
                    <c:v>2003</c:v>
                  </c:pt>
                  <c:pt idx="16">
                    <c:v>2004</c:v>
                  </c:pt>
                  <c:pt idx="20">
                    <c:v>2005</c:v>
                  </c:pt>
                  <c:pt idx="24">
                    <c:v>2006</c:v>
                  </c:pt>
                  <c:pt idx="28">
                    <c:v>2007</c:v>
                  </c:pt>
                  <c:pt idx="32">
                    <c:v>2008</c:v>
                  </c:pt>
                  <c:pt idx="36">
                    <c:v>2009</c:v>
                  </c:pt>
                  <c:pt idx="40">
                    <c:v>2010</c:v>
                  </c:pt>
                  <c:pt idx="44">
                    <c:v>2011</c:v>
                  </c:pt>
                  <c:pt idx="48">
                    <c:v>2012</c:v>
                  </c:pt>
                  <c:pt idx="52">
                    <c:v>2013</c:v>
                  </c:pt>
                  <c:pt idx="56">
                    <c:v>2014</c:v>
                  </c:pt>
                  <c:pt idx="60">
                    <c:v>2015</c:v>
                  </c:pt>
                  <c:pt idx="64">
                    <c:v>2016</c:v>
                  </c:pt>
                  <c:pt idx="68">
                    <c:v>2017</c:v>
                  </c:pt>
                  <c:pt idx="72">
                    <c:v>2018</c:v>
                  </c:pt>
                </c:lvl>
              </c:multiLvlStrCache>
            </c:multiLvlStrRef>
          </c:cat>
          <c:val>
            <c:numRef>
              <c:f>[rios.xlsx]Hoja3!$D$2:$D$77</c:f>
              <c:numCache>
                <c:formatCode>General</c:formatCode>
                <c:ptCount val="76"/>
                <c:pt idx="0">
                  <c:v>3.314637999999999</c:v>
                </c:pt>
                <c:pt idx="1">
                  <c:v>3.359426</c:v>
                </c:pt>
                <c:pt idx="2">
                  <c:v>3.393788</c:v>
                </c:pt>
                <c:pt idx="3">
                  <c:v>3.408443</c:v>
                </c:pt>
                <c:pt idx="4">
                  <c:v>3.4011</c:v>
                </c:pt>
                <c:pt idx="5">
                  <c:v>3.376967</c:v>
                </c:pt>
                <c:pt idx="6">
                  <c:v>3.362029</c:v>
                </c:pt>
                <c:pt idx="7">
                  <c:v>3.371864999999999</c:v>
                </c:pt>
                <c:pt idx="8">
                  <c:v>3.398814999999999</c:v>
                </c:pt>
                <c:pt idx="9">
                  <c:v>3.419712999999999</c:v>
                </c:pt>
                <c:pt idx="10">
                  <c:v>3.429284</c:v>
                </c:pt>
                <c:pt idx="11">
                  <c:v>3.428059999999999</c:v>
                </c:pt>
                <c:pt idx="12">
                  <c:v>3.411918</c:v>
                </c:pt>
                <c:pt idx="13">
                  <c:v>3.383643</c:v>
                </c:pt>
                <c:pt idx="14">
                  <c:v>3.363048</c:v>
                </c:pt>
                <c:pt idx="15">
                  <c:v>3.358604</c:v>
                </c:pt>
                <c:pt idx="16">
                  <c:v>3.366058999999999</c:v>
                </c:pt>
                <c:pt idx="17">
                  <c:v>3.38905</c:v>
                </c:pt>
                <c:pt idx="18">
                  <c:v>3.419097999999999</c:v>
                </c:pt>
                <c:pt idx="19">
                  <c:v>3.451271999999999</c:v>
                </c:pt>
                <c:pt idx="20">
                  <c:v>3.469795</c:v>
                </c:pt>
                <c:pt idx="21">
                  <c:v>3.479931</c:v>
                </c:pt>
                <c:pt idx="22">
                  <c:v>3.491214999999999</c:v>
                </c:pt>
                <c:pt idx="23">
                  <c:v>3.508981</c:v>
                </c:pt>
                <c:pt idx="24">
                  <c:v>3.530208</c:v>
                </c:pt>
                <c:pt idx="25">
                  <c:v>3.556694999999999</c:v>
                </c:pt>
                <c:pt idx="26">
                  <c:v>3.593035</c:v>
                </c:pt>
                <c:pt idx="27">
                  <c:v>3.629756</c:v>
                </c:pt>
                <c:pt idx="28">
                  <c:v>3.644858</c:v>
                </c:pt>
                <c:pt idx="29">
                  <c:v>3.622612</c:v>
                </c:pt>
                <c:pt idx="30">
                  <c:v>3.580591</c:v>
                </c:pt>
                <c:pt idx="31">
                  <c:v>3.545185</c:v>
                </c:pt>
                <c:pt idx="32">
                  <c:v>3.52717</c:v>
                </c:pt>
                <c:pt idx="33">
                  <c:v>3.532884999999999</c:v>
                </c:pt>
                <c:pt idx="34">
                  <c:v>3.571861</c:v>
                </c:pt>
                <c:pt idx="35">
                  <c:v>3.651635999999999</c:v>
                </c:pt>
                <c:pt idx="36">
                  <c:v>3.776111</c:v>
                </c:pt>
                <c:pt idx="37">
                  <c:v>3.939420999999999</c:v>
                </c:pt>
                <c:pt idx="38">
                  <c:v>4.119713</c:v>
                </c:pt>
                <c:pt idx="39">
                  <c:v>4.273545</c:v>
                </c:pt>
                <c:pt idx="40">
                  <c:v>4.362613999999999</c:v>
                </c:pt>
                <c:pt idx="41">
                  <c:v>4.382811999999999</c:v>
                </c:pt>
                <c:pt idx="42">
                  <c:v>4.356979999999999</c:v>
                </c:pt>
                <c:pt idx="43">
                  <c:v>4.306903</c:v>
                </c:pt>
                <c:pt idx="44">
                  <c:v>4.233825</c:v>
                </c:pt>
                <c:pt idx="45">
                  <c:v>4.126784999999998</c:v>
                </c:pt>
                <c:pt idx="46">
                  <c:v>4.000814999999999</c:v>
                </c:pt>
                <c:pt idx="47">
                  <c:v>3.865473999999999</c:v>
                </c:pt>
                <c:pt idx="48">
                  <c:v>3.742975</c:v>
                </c:pt>
                <c:pt idx="49">
                  <c:v>3.64882</c:v>
                </c:pt>
                <c:pt idx="50">
                  <c:v>3.586383</c:v>
                </c:pt>
                <c:pt idx="51">
                  <c:v>3.567732</c:v>
                </c:pt>
                <c:pt idx="52">
                  <c:v>3.590805</c:v>
                </c:pt>
                <c:pt idx="53">
                  <c:v>3.641719</c:v>
                </c:pt>
                <c:pt idx="54">
                  <c:v>3.706974</c:v>
                </c:pt>
                <c:pt idx="55">
                  <c:v>3.793504</c:v>
                </c:pt>
                <c:pt idx="56">
                  <c:v>3.900903</c:v>
                </c:pt>
                <c:pt idx="57">
                  <c:v>4.017094999999999</c:v>
                </c:pt>
                <c:pt idx="58">
                  <c:v>4.121051999999999</c:v>
                </c:pt>
                <c:pt idx="59">
                  <c:v>4.218803</c:v>
                </c:pt>
                <c:pt idx="60">
                  <c:v>4.319626</c:v>
                </c:pt>
                <c:pt idx="61">
                  <c:v>4.424153999999999</c:v>
                </c:pt>
                <c:pt idx="62">
                  <c:v>4.515826999999999</c:v>
                </c:pt>
                <c:pt idx="63">
                  <c:v>4.575269</c:v>
                </c:pt>
                <c:pt idx="64">
                  <c:v>4.570289</c:v>
                </c:pt>
                <c:pt idx="65">
                  <c:v>4.500455999999999</c:v>
                </c:pt>
                <c:pt idx="66">
                  <c:v>4.395131999999999</c:v>
                </c:pt>
                <c:pt idx="67">
                  <c:v>4.28694</c:v>
                </c:pt>
                <c:pt idx="68">
                  <c:v>4.190063</c:v>
                </c:pt>
                <c:pt idx="69">
                  <c:v>4.109148</c:v>
                </c:pt>
                <c:pt idx="70">
                  <c:v>4.039773</c:v>
                </c:pt>
                <c:pt idx="71">
                  <c:v>3.991000999999999</c:v>
                </c:pt>
                <c:pt idx="72">
                  <c:v>3.949895999999999</c:v>
                </c:pt>
                <c:pt idx="73">
                  <c:v>3.899906999999999</c:v>
                </c:pt>
                <c:pt idx="74">
                  <c:v>3.855837</c:v>
                </c:pt>
                <c:pt idx="75">
                  <c:v>3.827138</c:v>
                </c:pt>
              </c:numCache>
            </c:numRef>
          </c:val>
          <c:smooth val="0"/>
        </c:ser>
        <c:dLbls>
          <c:showLegendKey val="0"/>
          <c:showVal val="0"/>
          <c:showCatName val="0"/>
          <c:showSerName val="0"/>
          <c:showPercent val="0"/>
          <c:showBubbleSize val="0"/>
        </c:dLbls>
        <c:marker val="1"/>
        <c:smooth val="0"/>
        <c:axId val="2109538504"/>
        <c:axId val="2109541640"/>
      </c:lineChart>
      <c:catAx>
        <c:axId val="2109538504"/>
        <c:scaling>
          <c:orientation val="minMax"/>
        </c:scaling>
        <c:delete val="0"/>
        <c:axPos val="b"/>
        <c:majorTickMark val="out"/>
        <c:minorTickMark val="none"/>
        <c:tickLblPos val="nextTo"/>
        <c:txPr>
          <a:bodyPr/>
          <a:lstStyle/>
          <a:p>
            <a:pPr>
              <a:defRPr sz="800">
                <a:solidFill>
                  <a:schemeClr val="tx1">
                    <a:lumMod val="65000"/>
                    <a:lumOff val="35000"/>
                  </a:schemeClr>
                </a:solidFill>
              </a:defRPr>
            </a:pPr>
            <a:endParaRPr lang="en-US"/>
          </a:p>
        </c:txPr>
        <c:crossAx val="2109541640"/>
        <c:crosses val="autoZero"/>
        <c:auto val="1"/>
        <c:lblAlgn val="ctr"/>
        <c:lblOffset val="100"/>
        <c:noMultiLvlLbl val="0"/>
      </c:catAx>
      <c:valAx>
        <c:axId val="2109541640"/>
        <c:scaling>
          <c:orientation val="minMax"/>
          <c:min val="3.0"/>
        </c:scaling>
        <c:delete val="0"/>
        <c:axPos val="l"/>
        <c:majorGridlines>
          <c:spPr>
            <a:ln>
              <a:solidFill>
                <a:schemeClr val="bg1">
                  <a:lumMod val="65000"/>
                  <a:alpha val="32000"/>
                </a:schemeClr>
              </a:solidFill>
              <a:prstDash val="sysDot"/>
            </a:ln>
          </c:spPr>
        </c:majorGridlines>
        <c:numFmt formatCode="General" sourceLinked="1"/>
        <c:majorTickMark val="out"/>
        <c:minorTickMark val="none"/>
        <c:tickLblPos val="nextTo"/>
        <c:spPr>
          <a:ln>
            <a:solidFill>
              <a:schemeClr val="bg1">
                <a:lumMod val="65000"/>
              </a:schemeClr>
            </a:solidFill>
          </a:ln>
        </c:spPr>
        <c:txPr>
          <a:bodyPr/>
          <a:lstStyle/>
          <a:p>
            <a:pPr>
              <a:defRPr sz="800" b="0">
                <a:solidFill>
                  <a:schemeClr val="tx1">
                    <a:lumMod val="65000"/>
                    <a:lumOff val="35000"/>
                  </a:schemeClr>
                </a:solidFill>
              </a:defRPr>
            </a:pPr>
            <a:endParaRPr lang="en-US"/>
          </a:p>
        </c:txPr>
        <c:crossAx val="2109538504"/>
        <c:crosses val="autoZero"/>
        <c:crossBetween val="between"/>
      </c:valAx>
    </c:plotArea>
    <c:legend>
      <c:legendPos val="r"/>
      <c:layout>
        <c:manualLayout>
          <c:xMode val="edge"/>
          <c:yMode val="edge"/>
          <c:x val="0.00457739610343269"/>
          <c:y val="0.898247206606552"/>
          <c:w val="0.961182926152358"/>
          <c:h val="0.100352546241298"/>
        </c:manualLayout>
      </c:layout>
      <c:overlay val="0"/>
      <c:txPr>
        <a:bodyPr/>
        <a:lstStyle/>
        <a:p>
          <a:pPr>
            <a:defRPr sz="800">
              <a:solidFill>
                <a:schemeClr val="tx1">
                  <a:lumMod val="65000"/>
                  <a:lumOff val="35000"/>
                </a:schemeClr>
              </a:solidFill>
            </a:defRPr>
          </a:pPr>
          <a:endParaRPr lang="en-US"/>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3.35958E-7</cdr:x>
      <cdr:y>0.29971</cdr:y>
    </cdr:from>
    <cdr:to>
      <cdr:x>0.0336</cdr:x>
      <cdr:y>0.59921</cdr:y>
    </cdr:to>
    <cdr:sp macro="" textlink="">
      <cdr:nvSpPr>
        <cdr:cNvPr id="2" name="1 Cuadro de texto"/>
        <cdr:cNvSpPr txBox="1"/>
      </cdr:nvSpPr>
      <cdr:spPr>
        <a:xfrm xmlns:a="http://schemas.openxmlformats.org/drawingml/2006/main" rot="16200000">
          <a:off x="-357850" y="1274222"/>
          <a:ext cx="915731" cy="20002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000">
              <a:solidFill>
                <a:schemeClr val="bg1">
                  <a:lumMod val="50000"/>
                </a:schemeClr>
              </a:solidFill>
            </a:rPr>
            <a:t>Milímetros</a:t>
          </a:r>
          <a:endParaRPr lang="es-ES" sz="1100">
            <a:solidFill>
              <a:schemeClr val="bg1">
                <a:lumMod val="50000"/>
              </a:schemeClr>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1.82269E-7</cdr:x>
      <cdr:y>0.15273</cdr:y>
    </cdr:from>
    <cdr:to>
      <cdr:x>0.18551</cdr:x>
      <cdr:y>0.76613</cdr:y>
    </cdr:to>
    <cdr:sp macro="" textlink="">
      <cdr:nvSpPr>
        <cdr:cNvPr id="2" name="1 Cuadro de texto"/>
        <cdr:cNvSpPr txBox="1"/>
      </cdr:nvSpPr>
      <cdr:spPr>
        <a:xfrm xmlns:a="http://schemas.openxmlformats.org/drawingml/2006/main" rot="16200000">
          <a:off x="-481053" y="974035"/>
          <a:ext cx="1979875" cy="10177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s-ES" sz="900">
              <a:solidFill>
                <a:schemeClr val="tx1">
                  <a:lumMod val="65000"/>
                  <a:lumOff val="35000"/>
                </a:schemeClr>
              </a:solidFill>
            </a:rPr>
            <a:t>Metros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A486-510D-4D4B-A27D-BC0ABC4F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2657</Words>
  <Characters>15150</Characters>
  <Application>Microsoft Macintosh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julian</cp:lastModifiedBy>
  <cp:revision>7</cp:revision>
  <cp:lastPrinted>2019-01-24T14:33:00Z</cp:lastPrinted>
  <dcterms:created xsi:type="dcterms:W3CDTF">2019-01-24T14:33:00Z</dcterms:created>
  <dcterms:modified xsi:type="dcterms:W3CDTF">2019-01-24T16:50:00Z</dcterms:modified>
</cp:coreProperties>
</file>